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621"/>
        <w:gridCol w:w="4622"/>
      </w:tblGrid>
      <w:tr w:rsidR="00DA038A" w:rsidRPr="005005F3" w14:paraId="0D1DE2F5" w14:textId="77777777" w:rsidTr="00EE2B8C">
        <w:trPr>
          <w:cantSplit/>
        </w:trPr>
        <w:tc>
          <w:tcPr>
            <w:tcW w:w="4621" w:type="dxa"/>
          </w:tcPr>
          <w:p w14:paraId="441A4E75" w14:textId="2E7C5707" w:rsidR="00DA038A" w:rsidRPr="005005F3" w:rsidRDefault="0053291B" w:rsidP="00EE2B8C">
            <w:pPr>
              <w:jc w:val="left"/>
              <w:rPr>
                <w:bCs/>
                <w:sz w:val="32"/>
                <w:lang w:val="en-GB"/>
              </w:rPr>
            </w:pPr>
            <w:r w:rsidRPr="0053291B">
              <w:rPr>
                <w:noProof/>
                <w:lang w:val="en-GB" w:eastAsia="en-GB"/>
              </w:rPr>
              <mc:AlternateContent>
                <mc:Choice Requires="wps">
                  <w:drawing>
                    <wp:anchor distT="0" distB="0" distL="114300" distR="114300" simplePos="0" relativeHeight="251660288" behindDoc="1" locked="0" layoutInCell="0" allowOverlap="1" wp14:anchorId="31A8AC1E" wp14:editId="33DCA1A3">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14:paraId="41D763C7" w14:textId="77777777" w:rsidR="00774A14" w:rsidRPr="00B33430" w:rsidRDefault="00774A14" w:rsidP="00DA038A">
                                  <w:pPr>
                                    <w:jc w:val="center"/>
                                    <w:rPr>
                                      <w:rFonts w:ascii="Arial" w:hAnsi="Arial" w:cs="Arial"/>
                                      <w:b/>
                                      <w:bCs/>
                                      <w:sz w:val="48"/>
                                    </w:rPr>
                                  </w:pPr>
                                  <w:r w:rsidRPr="00B33430">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8AC1E" id="_x0000_t202" coordsize="21600,21600" o:spt="202" path="m,l,21600r21600,l21600,xe">
                      <v:stroke joinstyle="miter"/>
                      <v:path gradientshapeok="t" o:connecttype="rect"/>
                    </v:shapetype>
                    <v:shape id="Text Box 3" o:spid="_x0000_s1026" type="#_x0000_t202" style="position:absolute;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sz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VMCgsdj+hJ&#10;D0F8xEFcRH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CSDgsz8gEAAMUDAAAOAAAAAAAAAAAAAAAAAC4CAABkcnMv&#10;ZTJvRG9jLnhtbFBLAQItABQABgAIAAAAIQDrVDFa3gAAAA8BAAAPAAAAAAAAAAAAAAAAAEwEAABk&#10;cnMvZG93bnJldi54bWxQSwUGAAAAAAQABADzAAAAVwUAAAAA&#10;" o:allowincell="f" filled="f" stroked="f">
                      <v:textbox>
                        <w:txbxContent>
                          <w:p w14:paraId="41D763C7" w14:textId="77777777" w:rsidR="00774A14" w:rsidRPr="00B33430" w:rsidRDefault="00774A14" w:rsidP="00DA038A">
                            <w:pPr>
                              <w:jc w:val="center"/>
                              <w:rPr>
                                <w:rFonts w:ascii="Arial" w:hAnsi="Arial" w:cs="Arial"/>
                                <w:b/>
                                <w:bCs/>
                                <w:sz w:val="48"/>
                              </w:rPr>
                            </w:pPr>
                            <w:r w:rsidRPr="00B33430">
                              <w:rPr>
                                <w:rFonts w:ascii="Arial" w:hAnsi="Arial" w:cs="Arial"/>
                                <w:b/>
                                <w:bCs/>
                                <w:sz w:val="48"/>
                              </w:rPr>
                              <w:t>EN</w:t>
                            </w:r>
                          </w:p>
                        </w:txbxContent>
                      </v:textbox>
                      <w10:wrap anchorx="page" anchory="page"/>
                    </v:shape>
                  </w:pict>
                </mc:Fallback>
              </mc:AlternateContent>
            </w:r>
            <w:r w:rsidR="00DA038A" w:rsidRPr="0053291B">
              <w:rPr>
                <w:bCs/>
                <w:noProof/>
                <w:sz w:val="32"/>
                <w:lang w:val="en-GB" w:eastAsia="en-GB"/>
              </w:rPr>
              <w:drawing>
                <wp:inline distT="0" distB="0" distL="0" distR="0" wp14:anchorId="1CA35333" wp14:editId="40BB8FCA">
                  <wp:extent cx="1800000" cy="1559336"/>
                  <wp:effectExtent l="0" t="0" r="0" b="3175"/>
                  <wp:docPr id="37" name="Picture 37" descr="C:\Users\mreg\Music\New LOGO\Logo\logo_CoR-vertical-positive-en-quadri_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r w:rsidR="00DA038A" w:rsidRPr="0053291B">
              <w:rPr>
                <w:b/>
                <w:bCs/>
                <w:noProof/>
                <w:sz w:val="32"/>
                <w:lang w:val="en-GB" w:eastAsia="en-GB"/>
              </w:rPr>
              <w:drawing>
                <wp:anchor distT="0" distB="0" distL="114300" distR="114300" simplePos="0" relativeHeight="251659264" behindDoc="0" locked="0" layoutInCell="0" allowOverlap="0" wp14:anchorId="7687FE10" wp14:editId="5A2AA92B">
                  <wp:simplePos x="0" y="0"/>
                  <wp:positionH relativeFrom="margin">
                    <wp:posOffset>0</wp:posOffset>
                  </wp:positionH>
                  <wp:positionV relativeFrom="margin">
                    <wp:posOffset>9343390</wp:posOffset>
                  </wp:positionV>
                  <wp:extent cx="5760000" cy="266400"/>
                  <wp:effectExtent l="0" t="0" r="0" b="635"/>
                  <wp:wrapNone/>
                  <wp:docPr id="6" name="Picture 6" descr="C:\Users\mreg\Music\_New CoR logo\New LOGO CoR\Address\CoR letterhead top banner - address 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_New CoR logo\New LOGO CoR\Address\CoR letterhead top banner - address FR-N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00" cy="266400"/>
                          </a:xfrm>
                          <a:prstGeom prst="rect">
                            <a:avLst/>
                          </a:prstGeom>
                          <a:noFill/>
                          <a:ln>
                            <a:noFill/>
                          </a:ln>
                        </pic:spPr>
                      </pic:pic>
                    </a:graphicData>
                  </a:graphic>
                </wp:anchor>
              </w:drawing>
            </w:r>
          </w:p>
        </w:tc>
        <w:tc>
          <w:tcPr>
            <w:tcW w:w="4622" w:type="dxa"/>
          </w:tcPr>
          <w:p w14:paraId="4040B2F3" w14:textId="77777777" w:rsidR="00DA038A" w:rsidRPr="005005F3" w:rsidRDefault="00DA038A" w:rsidP="00EE2B8C">
            <w:pPr>
              <w:jc w:val="center"/>
              <w:rPr>
                <w:bCs/>
                <w:sz w:val="32"/>
                <w:lang w:val="en-GB"/>
              </w:rPr>
            </w:pPr>
          </w:p>
        </w:tc>
      </w:tr>
      <w:tr w:rsidR="00DA038A" w:rsidRPr="005005F3" w14:paraId="4A8706B8" w14:textId="77777777" w:rsidTr="00EE2B8C">
        <w:trPr>
          <w:cantSplit/>
        </w:trPr>
        <w:tc>
          <w:tcPr>
            <w:tcW w:w="9243" w:type="dxa"/>
            <w:gridSpan w:val="2"/>
          </w:tcPr>
          <w:p w14:paraId="4E9879D7" w14:textId="3FE0C7E5" w:rsidR="00DA038A" w:rsidRPr="005005F3" w:rsidRDefault="00DA038A" w:rsidP="00973D99">
            <w:pPr>
              <w:jc w:val="right"/>
              <w:rPr>
                <w:b/>
                <w:bCs/>
                <w:sz w:val="28"/>
                <w:lang w:val="en-GB"/>
              </w:rPr>
            </w:pPr>
            <w:r w:rsidRPr="005005F3">
              <w:rPr>
                <w:b/>
                <w:sz w:val="28"/>
                <w:lang w:val="en-GB"/>
              </w:rPr>
              <w:t>ENVE-VII/</w:t>
            </w:r>
            <w:r w:rsidR="008A0252">
              <w:rPr>
                <w:b/>
                <w:sz w:val="28"/>
                <w:lang w:val="en-GB"/>
              </w:rPr>
              <w:t>0</w:t>
            </w:r>
            <w:r w:rsidR="003D1E1F">
              <w:rPr>
                <w:b/>
                <w:sz w:val="28"/>
                <w:lang w:val="en-GB"/>
              </w:rPr>
              <w:t>22</w:t>
            </w:r>
          </w:p>
        </w:tc>
      </w:tr>
      <w:tr w:rsidR="00DA038A" w:rsidRPr="005005F3" w14:paraId="4FCE7DB8" w14:textId="77777777" w:rsidTr="00EE2B8C">
        <w:tc>
          <w:tcPr>
            <w:tcW w:w="9243" w:type="dxa"/>
            <w:gridSpan w:val="2"/>
          </w:tcPr>
          <w:p w14:paraId="3919A3FA" w14:textId="77777777" w:rsidR="00DA038A" w:rsidRPr="005005F3" w:rsidRDefault="00DA038A" w:rsidP="00EE2B8C">
            <w:pPr>
              <w:ind w:left="-113"/>
              <w:rPr>
                <w:lang w:val="en-GB"/>
              </w:rPr>
            </w:pPr>
          </w:p>
          <w:p w14:paraId="79DCF692" w14:textId="77777777" w:rsidR="005B1739" w:rsidRDefault="005B1739" w:rsidP="008A0252">
            <w:pPr>
              <w:jc w:val="center"/>
              <w:rPr>
                <w:b/>
                <w:color w:val="000000" w:themeColor="text1"/>
                <w:sz w:val="28"/>
                <w:lang w:val="en-GB"/>
              </w:rPr>
            </w:pPr>
          </w:p>
          <w:p w14:paraId="27B46D36" w14:textId="71C42071" w:rsidR="00DA038A" w:rsidRPr="005005F3" w:rsidRDefault="00973D99" w:rsidP="003D1E1F">
            <w:pPr>
              <w:jc w:val="center"/>
              <w:rPr>
                <w:b/>
                <w:bCs/>
                <w:sz w:val="28"/>
                <w:lang w:val="en-GB"/>
              </w:rPr>
            </w:pPr>
            <w:r>
              <w:rPr>
                <w:b/>
                <w:color w:val="000000" w:themeColor="text1"/>
                <w:sz w:val="28"/>
                <w:lang w:val="en-GB"/>
              </w:rPr>
              <w:t>1</w:t>
            </w:r>
            <w:r w:rsidR="000A588B">
              <w:rPr>
                <w:b/>
                <w:color w:val="000000" w:themeColor="text1"/>
                <w:sz w:val="28"/>
                <w:lang w:val="en-GB"/>
              </w:rPr>
              <w:t>1</w:t>
            </w:r>
            <w:r w:rsidR="003D1E1F" w:rsidRPr="003D1E1F">
              <w:rPr>
                <w:b/>
                <w:color w:val="000000" w:themeColor="text1"/>
                <w:sz w:val="28"/>
                <w:vertAlign w:val="superscript"/>
                <w:lang w:val="en-GB"/>
              </w:rPr>
              <w:t>th</w:t>
            </w:r>
            <w:r w:rsidR="003D1E1F">
              <w:rPr>
                <w:b/>
                <w:color w:val="000000" w:themeColor="text1"/>
                <w:sz w:val="28"/>
                <w:lang w:val="en-GB"/>
              </w:rPr>
              <w:t xml:space="preserve"> </w:t>
            </w:r>
            <w:r w:rsidR="00DA038A" w:rsidRPr="005005F3">
              <w:rPr>
                <w:b/>
                <w:color w:val="000000" w:themeColor="text1"/>
                <w:sz w:val="28"/>
                <w:lang w:val="en-GB"/>
              </w:rPr>
              <w:t xml:space="preserve">ENVE commission meeting, </w:t>
            </w:r>
            <w:r w:rsidR="003D1E1F">
              <w:rPr>
                <w:b/>
                <w:color w:val="000000" w:themeColor="text1"/>
                <w:sz w:val="28"/>
                <w:lang w:val="en-GB"/>
              </w:rPr>
              <w:t>23-24</w:t>
            </w:r>
            <w:r>
              <w:rPr>
                <w:b/>
                <w:color w:val="000000" w:themeColor="text1"/>
                <w:sz w:val="28"/>
                <w:lang w:val="en-GB"/>
              </w:rPr>
              <w:t xml:space="preserve"> </w:t>
            </w:r>
            <w:r w:rsidR="003D1E1F">
              <w:rPr>
                <w:b/>
                <w:color w:val="000000" w:themeColor="text1"/>
                <w:sz w:val="28"/>
                <w:lang w:val="en-GB"/>
              </w:rPr>
              <w:t>November 2021</w:t>
            </w:r>
          </w:p>
        </w:tc>
      </w:tr>
    </w:tbl>
    <w:p w14:paraId="3FB9D229" w14:textId="568E5C6B" w:rsidR="00DA038A" w:rsidRPr="005005F3" w:rsidRDefault="00DA038A" w:rsidP="00DA038A">
      <w:pPr>
        <w:rPr>
          <w:lang w:val="en-GB"/>
        </w:rPr>
      </w:pPr>
    </w:p>
    <w:p w14:paraId="56C05253" w14:textId="77777777" w:rsidR="00DA038A" w:rsidRPr="005005F3" w:rsidRDefault="00DA038A" w:rsidP="00DA038A">
      <w:pPr>
        <w:rPr>
          <w:lang w:val="en-GB"/>
        </w:rPr>
      </w:pPr>
    </w:p>
    <w:p w14:paraId="2B23156B" w14:textId="18572458" w:rsidR="00DA038A" w:rsidRPr="005005F3" w:rsidRDefault="00251FEE" w:rsidP="00DA038A">
      <w:pPr>
        <w:jc w:val="center"/>
        <w:rPr>
          <w:b/>
          <w:bCs/>
          <w:sz w:val="28"/>
          <w:lang w:val="en-GB"/>
        </w:rPr>
      </w:pPr>
      <w:r>
        <w:rPr>
          <w:b/>
          <w:bCs/>
          <w:sz w:val="28"/>
          <w:lang w:val="en-GB"/>
        </w:rPr>
        <w:t>WORKING DOCUMENT</w:t>
      </w:r>
    </w:p>
    <w:p w14:paraId="7BF9667C" w14:textId="77777777" w:rsidR="00DA038A" w:rsidRPr="005005F3" w:rsidRDefault="00DA038A" w:rsidP="00DA038A">
      <w:pPr>
        <w:jc w:val="center"/>
        <w:rPr>
          <w:b/>
          <w:bCs/>
          <w:sz w:val="28"/>
          <w:lang w:val="en-GB"/>
        </w:rPr>
      </w:pPr>
    </w:p>
    <w:p w14:paraId="29DDA13A" w14:textId="77777777" w:rsidR="00DA038A" w:rsidRPr="005005F3" w:rsidRDefault="00DA038A" w:rsidP="00DA038A">
      <w:pPr>
        <w:jc w:val="center"/>
        <w:rPr>
          <w:b/>
          <w:sz w:val="28"/>
          <w:lang w:val="en-GB"/>
        </w:rPr>
      </w:pPr>
      <w:r w:rsidRPr="005005F3">
        <w:rPr>
          <w:b/>
          <w:sz w:val="28"/>
          <w:lang w:val="en-GB"/>
        </w:rPr>
        <w:t>Commission for Environment, Climate Change and Energy</w:t>
      </w:r>
    </w:p>
    <w:p w14:paraId="367F036A" w14:textId="77777777" w:rsidR="00DA038A" w:rsidRPr="005005F3" w:rsidRDefault="00DA038A" w:rsidP="00DA038A">
      <w:pPr>
        <w:jc w:val="center"/>
        <w:rPr>
          <w:b/>
          <w:sz w:val="28"/>
          <w:lang w:val="en-GB"/>
        </w:rPr>
      </w:pPr>
    </w:p>
    <w:p w14:paraId="03BEF661" w14:textId="6A917D3E" w:rsidR="00DA038A" w:rsidRPr="005005F3" w:rsidRDefault="003D1E1F" w:rsidP="0073734A">
      <w:pPr>
        <w:jc w:val="center"/>
        <w:rPr>
          <w:lang w:val="en-GB"/>
        </w:rPr>
      </w:pPr>
      <w:r w:rsidRPr="003D1E1F">
        <w:rPr>
          <w:b/>
          <w:bCs/>
          <w:sz w:val="28"/>
          <w:szCs w:val="28"/>
          <w:lang w:val="en-GB"/>
        </w:rPr>
        <w:t>Towards a socially fair implementation of the Green Deal</w:t>
      </w:r>
    </w:p>
    <w:tbl>
      <w:tblPr>
        <w:tblW w:w="9243" w:type="dxa"/>
        <w:tblLayout w:type="fixed"/>
        <w:tblLook w:val="0000" w:firstRow="0" w:lastRow="0" w:firstColumn="0" w:lastColumn="0" w:noHBand="0" w:noVBand="0"/>
      </w:tblPr>
      <w:tblGrid>
        <w:gridCol w:w="9243"/>
      </w:tblGrid>
      <w:tr w:rsidR="00DA038A" w:rsidRPr="005005F3" w14:paraId="7CAF3D53" w14:textId="77777777" w:rsidTr="003D1E1F">
        <w:tc>
          <w:tcPr>
            <w:tcW w:w="9243" w:type="dxa"/>
          </w:tcPr>
          <w:p w14:paraId="4FFE9EFC" w14:textId="77777777" w:rsidR="00DA038A" w:rsidRPr="005005F3" w:rsidRDefault="00DA038A" w:rsidP="00EE2B8C">
            <w:pPr>
              <w:jc w:val="center"/>
              <w:rPr>
                <w:lang w:val="en-GB"/>
              </w:rPr>
            </w:pPr>
            <w:r w:rsidRPr="005005F3">
              <w:rPr>
                <w:lang w:val="en-GB"/>
              </w:rPr>
              <w:t>_____________</w:t>
            </w:r>
          </w:p>
          <w:p w14:paraId="762608C7" w14:textId="77777777" w:rsidR="00DA038A" w:rsidRPr="005005F3" w:rsidRDefault="00DA038A" w:rsidP="00EE2B8C">
            <w:pPr>
              <w:jc w:val="center"/>
              <w:rPr>
                <w:lang w:val="en-GB"/>
              </w:rPr>
            </w:pPr>
          </w:p>
          <w:p w14:paraId="2C2BB554" w14:textId="58BA54AD" w:rsidR="00DA038A" w:rsidRPr="005005F3" w:rsidRDefault="00DA038A" w:rsidP="00EE2B8C">
            <w:pPr>
              <w:jc w:val="center"/>
              <w:rPr>
                <w:lang w:val="en-GB"/>
              </w:rPr>
            </w:pPr>
            <w:r w:rsidRPr="005005F3">
              <w:rPr>
                <w:lang w:val="en-GB"/>
              </w:rPr>
              <w:t xml:space="preserve">Rapporteur: </w:t>
            </w:r>
            <w:r w:rsidR="003D1E1F" w:rsidRPr="003D1E1F">
              <w:rPr>
                <w:b/>
                <w:lang w:val="en-GB"/>
              </w:rPr>
              <w:t>Csaba Borboly (RO/EPP</w:t>
            </w:r>
            <w:r w:rsidR="003D1E1F">
              <w:rPr>
                <w:b/>
                <w:lang w:val="en-GB"/>
              </w:rPr>
              <w:t>)</w:t>
            </w:r>
          </w:p>
          <w:p w14:paraId="23D814E2" w14:textId="434934E4" w:rsidR="00DA038A" w:rsidRPr="005005F3" w:rsidRDefault="003D1E1F" w:rsidP="00EE2B8C">
            <w:pPr>
              <w:jc w:val="center"/>
              <w:rPr>
                <w:bCs/>
                <w:lang w:val="en-GB"/>
              </w:rPr>
            </w:pPr>
            <w:r w:rsidRPr="003D1E1F">
              <w:rPr>
                <w:lang w:val="en-GB"/>
              </w:rPr>
              <w:t xml:space="preserve">President of </w:t>
            </w:r>
            <w:proofErr w:type="spellStart"/>
            <w:r w:rsidRPr="003D1E1F">
              <w:rPr>
                <w:lang w:val="en-GB"/>
              </w:rPr>
              <w:t>Harghita</w:t>
            </w:r>
            <w:proofErr w:type="spellEnd"/>
            <w:r w:rsidRPr="003D1E1F">
              <w:rPr>
                <w:lang w:val="en-GB"/>
              </w:rPr>
              <w:t xml:space="preserve"> County Council, Romania</w:t>
            </w:r>
          </w:p>
          <w:p w14:paraId="33A5F2E0" w14:textId="77777777" w:rsidR="00DA038A" w:rsidRPr="005005F3" w:rsidRDefault="00DA038A" w:rsidP="00EE2B8C">
            <w:pPr>
              <w:jc w:val="center"/>
              <w:rPr>
                <w:b/>
                <w:bCs/>
                <w:lang w:val="en-GB"/>
              </w:rPr>
            </w:pPr>
          </w:p>
          <w:p w14:paraId="00634DE0" w14:textId="77777777" w:rsidR="00DA038A" w:rsidRPr="005005F3" w:rsidRDefault="00DA038A" w:rsidP="00EE2B8C">
            <w:pPr>
              <w:jc w:val="center"/>
              <w:rPr>
                <w:lang w:val="en-GB"/>
              </w:rPr>
            </w:pPr>
            <w:r w:rsidRPr="005005F3">
              <w:rPr>
                <w:lang w:val="en-GB"/>
              </w:rPr>
              <w:t>_____________</w:t>
            </w:r>
            <w:r w:rsidRPr="005005F3">
              <w:rPr>
                <w:lang w:val="en-GB"/>
              </w:rPr>
              <w:br/>
            </w:r>
          </w:p>
        </w:tc>
      </w:tr>
    </w:tbl>
    <w:p w14:paraId="23FB7677" w14:textId="26E4B94F" w:rsidR="003D1E1F" w:rsidRPr="003D1E1F" w:rsidRDefault="003D1E1F" w:rsidP="003D1E1F">
      <w:pPr>
        <w:jc w:val="left"/>
        <w:rPr>
          <w:lang w:val="en-GB"/>
        </w:rPr>
      </w:pPr>
    </w:p>
    <w:p w14:paraId="725E0CFC" w14:textId="780583DA" w:rsidR="003D1E1F" w:rsidRPr="003D1E1F" w:rsidRDefault="003D1E1F" w:rsidP="003D1E1F">
      <w:pPr>
        <w:jc w:val="left"/>
        <w:rPr>
          <w:lang w:val="en-GB"/>
        </w:rPr>
      </w:pPr>
    </w:p>
    <w:p w14:paraId="69D086C6" w14:textId="00EB1058" w:rsidR="00DA038A" w:rsidRPr="005005F3" w:rsidRDefault="00DA038A" w:rsidP="003D1E1F">
      <w:pPr>
        <w:jc w:val="left"/>
        <w:rPr>
          <w:lang w:val="en-GB"/>
        </w:rPr>
      </w:pPr>
    </w:p>
    <w:p w14:paraId="7FCF3843" w14:textId="77777777" w:rsidR="00DA038A" w:rsidRPr="005005F3" w:rsidRDefault="00DA038A" w:rsidP="00DA038A">
      <w:pPr>
        <w:jc w:val="left"/>
        <w:rPr>
          <w:lang w:val="en-GB"/>
        </w:rPr>
      </w:pPr>
    </w:p>
    <w:p w14:paraId="4BAE567A" w14:textId="77777777" w:rsidR="00DA038A" w:rsidRPr="005005F3" w:rsidRDefault="00DA038A" w:rsidP="00DA038A">
      <w:pPr>
        <w:jc w:val="left"/>
        <w:rPr>
          <w:lang w:val="en-GB"/>
        </w:rPr>
      </w:pPr>
    </w:p>
    <w:p w14:paraId="7A387523" w14:textId="77777777" w:rsidR="00DA038A" w:rsidRPr="005005F3" w:rsidRDefault="00DA038A" w:rsidP="00DA038A">
      <w:pPr>
        <w:jc w:val="left"/>
        <w:rPr>
          <w:lang w:val="en-GB"/>
        </w:rPr>
      </w:pPr>
    </w:p>
    <w:p w14:paraId="62F2B25A" w14:textId="77777777" w:rsidR="00DA038A" w:rsidRPr="005005F3" w:rsidRDefault="00DA038A" w:rsidP="00DA038A">
      <w:pPr>
        <w:jc w:val="left"/>
        <w:rPr>
          <w:lang w:val="en-GB"/>
        </w:rPr>
      </w:pPr>
    </w:p>
    <w:p w14:paraId="13B1239B" w14:textId="77777777" w:rsidR="00DA038A" w:rsidRPr="005005F3" w:rsidRDefault="00DA038A" w:rsidP="00DA038A">
      <w:pPr>
        <w:jc w:val="left"/>
        <w:rPr>
          <w:lang w:val="en-GB"/>
        </w:rPr>
      </w:pPr>
    </w:p>
    <w:p w14:paraId="0DAF9CEC" w14:textId="77777777" w:rsidR="00DA038A" w:rsidRPr="005005F3" w:rsidRDefault="00DA038A" w:rsidP="00DA038A">
      <w:pPr>
        <w:jc w:val="left"/>
        <w:rPr>
          <w:lang w:val="en-GB"/>
        </w:rPr>
      </w:pPr>
    </w:p>
    <w:p w14:paraId="2523B246" w14:textId="77777777" w:rsidR="00DA038A" w:rsidRPr="005005F3" w:rsidRDefault="00DA038A" w:rsidP="00DA038A">
      <w:pPr>
        <w:jc w:val="left"/>
        <w:rPr>
          <w:lang w:val="en-GB"/>
        </w:rPr>
      </w:pPr>
    </w:p>
    <w:p w14:paraId="657AE52B" w14:textId="77777777" w:rsidR="00DA038A" w:rsidRPr="005005F3" w:rsidRDefault="00DA038A" w:rsidP="00DA038A">
      <w:pPr>
        <w:jc w:val="left"/>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DA038A" w:rsidRPr="005005F3" w14:paraId="15AE600E" w14:textId="77777777" w:rsidTr="00EE2B8C">
        <w:tc>
          <w:tcPr>
            <w:tcW w:w="9243" w:type="dxa"/>
            <w:tcBorders>
              <w:top w:val="single" w:sz="4" w:space="0" w:color="auto"/>
              <w:bottom w:val="single" w:sz="4" w:space="0" w:color="auto"/>
            </w:tcBorders>
          </w:tcPr>
          <w:p w14:paraId="36B6963D" w14:textId="621A04DB" w:rsidR="00DA038A" w:rsidRPr="005005F3" w:rsidRDefault="001C4C2E" w:rsidP="007426DE">
            <w:pPr>
              <w:rPr>
                <w:bCs/>
                <w:iCs/>
                <w:color w:val="000000"/>
                <w:lang w:val="en-GB"/>
              </w:rPr>
            </w:pPr>
            <w:r>
              <w:t xml:space="preserve">This document will be discussed at the meeting of the </w:t>
            </w:r>
            <w:r>
              <w:rPr>
                <w:b/>
                <w:bCs/>
              </w:rPr>
              <w:t>Commission for the Environment, Climate Change and Energy</w:t>
            </w:r>
            <w:r>
              <w:t xml:space="preserve"> to be held on </w:t>
            </w:r>
            <w:r w:rsidR="003D1E1F">
              <w:rPr>
                <w:b/>
                <w:bCs/>
              </w:rPr>
              <w:t>23-24 November</w:t>
            </w:r>
            <w:r>
              <w:rPr>
                <w:b/>
                <w:bCs/>
              </w:rPr>
              <w:t xml:space="preserve"> 202</w:t>
            </w:r>
            <w:r w:rsidR="003D1E1F">
              <w:rPr>
                <w:b/>
                <w:bCs/>
              </w:rPr>
              <w:t>1</w:t>
            </w:r>
            <w:r w:rsidR="007426DE">
              <w:rPr>
                <w:b/>
                <w:bCs/>
              </w:rPr>
              <w:t xml:space="preserve"> from 11 a.m. to 5.3</w:t>
            </w:r>
            <w:r>
              <w:rPr>
                <w:b/>
                <w:bCs/>
              </w:rPr>
              <w:t>0 p.m</w:t>
            </w:r>
            <w:r w:rsidR="007426DE">
              <w:rPr>
                <w:b/>
                <w:bCs/>
              </w:rPr>
              <w:t>. and from 10 a.m. to 5.00 p.m</w:t>
            </w:r>
            <w:r>
              <w:rPr>
                <w:b/>
                <w:bCs/>
              </w:rPr>
              <w:t>.</w:t>
            </w:r>
            <w:r>
              <w:rPr>
                <w:color w:val="000000"/>
              </w:rPr>
              <w:t xml:space="preserve"> </w:t>
            </w:r>
          </w:p>
        </w:tc>
      </w:tr>
    </w:tbl>
    <w:p w14:paraId="5DA7ADE9" w14:textId="77777777" w:rsidR="00DA038A" w:rsidRPr="005005F3" w:rsidRDefault="00DA038A" w:rsidP="00DA038A">
      <w:pPr>
        <w:rPr>
          <w:lang w:val="en-GB"/>
        </w:rPr>
      </w:pPr>
    </w:p>
    <w:p w14:paraId="04C79FA9" w14:textId="77777777" w:rsidR="00DA038A" w:rsidRPr="005005F3" w:rsidRDefault="00DA038A" w:rsidP="00DA038A">
      <w:pPr>
        <w:spacing w:after="160" w:line="259" w:lineRule="auto"/>
        <w:jc w:val="left"/>
        <w:rPr>
          <w:lang w:val="en-GB"/>
        </w:rPr>
      </w:pPr>
      <w:r w:rsidRPr="005005F3">
        <w:rPr>
          <w:lang w:val="en-GB"/>
        </w:rPr>
        <w:br w:type="page"/>
      </w:r>
    </w:p>
    <w:tbl>
      <w:tblPr>
        <w:tblW w:w="0" w:type="auto"/>
        <w:tblLayout w:type="fixed"/>
        <w:tblLook w:val="01E0" w:firstRow="1" w:lastRow="1" w:firstColumn="1" w:lastColumn="1" w:noHBand="0" w:noVBand="0"/>
      </w:tblPr>
      <w:tblGrid>
        <w:gridCol w:w="9243"/>
      </w:tblGrid>
      <w:tr w:rsidR="00DA038A" w:rsidRPr="005005F3" w14:paraId="783A38DE" w14:textId="77777777" w:rsidTr="00EE2B8C">
        <w:trPr>
          <w:trHeight w:val="12474"/>
        </w:trPr>
        <w:tc>
          <w:tcPr>
            <w:tcW w:w="9243" w:type="dxa"/>
            <w:vAlign w:val="bottom"/>
          </w:tcPr>
          <w:p w14:paraId="7944CBF7" w14:textId="77777777" w:rsidR="00DA038A" w:rsidRPr="005005F3" w:rsidRDefault="00DA038A" w:rsidP="00EE2B8C">
            <w:pPr>
              <w:rPr>
                <w:u w:val="single"/>
                <w:lang w:val="en-GB"/>
              </w:rPr>
            </w:pPr>
          </w:p>
          <w:p w14:paraId="5F51BE10" w14:textId="77777777" w:rsidR="00DA038A" w:rsidRPr="005005F3" w:rsidRDefault="00DA038A" w:rsidP="00EE2B8C">
            <w:pPr>
              <w:rPr>
                <w:u w:val="single"/>
                <w:lang w:val="en-GB"/>
              </w:rPr>
            </w:pPr>
            <w:r w:rsidRPr="005005F3">
              <w:rPr>
                <w:u w:val="single"/>
                <w:lang w:val="en-GB"/>
              </w:rPr>
              <w:t>Reference document</w:t>
            </w:r>
          </w:p>
          <w:p w14:paraId="0EEE2923" w14:textId="77777777" w:rsidR="00AD69E1" w:rsidRDefault="00AD69E1" w:rsidP="00AD69E1">
            <w:pPr>
              <w:rPr>
                <w:lang w:val="en-GB"/>
              </w:rPr>
            </w:pPr>
          </w:p>
          <w:p w14:paraId="6314C377" w14:textId="2CC7C55A" w:rsidR="00AD69E1" w:rsidRPr="00AD69E1" w:rsidRDefault="00AD69E1" w:rsidP="00AD69E1">
            <w:pPr>
              <w:rPr>
                <w:lang w:val="en-GB"/>
              </w:rPr>
            </w:pPr>
            <w:r w:rsidRPr="00AD69E1">
              <w:rPr>
                <w:lang w:val="en-GB"/>
              </w:rPr>
              <w:t>Proposal for a Regulation of the European Parliament and of the Council establishing</w:t>
            </w:r>
            <w:r>
              <w:rPr>
                <w:lang w:val="en-GB"/>
              </w:rPr>
              <w:t xml:space="preserve"> a Social Climate Fund COM (2021) </w:t>
            </w:r>
            <w:r w:rsidRPr="00AD69E1">
              <w:rPr>
                <w:lang w:val="en-GB"/>
              </w:rPr>
              <w:t>568</w:t>
            </w:r>
            <w:r>
              <w:rPr>
                <w:lang w:val="en-GB"/>
              </w:rPr>
              <w:t xml:space="preserve"> </w:t>
            </w:r>
            <w:r w:rsidRPr="00AD69E1">
              <w:rPr>
                <w:lang w:val="en-GB"/>
              </w:rPr>
              <w:t>final</w:t>
            </w:r>
          </w:p>
          <w:p w14:paraId="2566EA60" w14:textId="5D0D1160" w:rsidR="00AD69E1" w:rsidRPr="005005F3" w:rsidRDefault="00AD69E1" w:rsidP="00AD69E1">
            <w:pPr>
              <w:rPr>
                <w:lang w:val="en-GB"/>
              </w:rPr>
            </w:pPr>
            <w:r w:rsidRPr="00AD69E1">
              <w:rPr>
                <w:lang w:val="en-GB"/>
              </w:rPr>
              <w:t>Proposal for a Council Directive restructuring the Union framework for the taxation of energy products and electricity (recast) COM</w:t>
            </w:r>
            <w:r>
              <w:rPr>
                <w:lang w:val="en-GB"/>
              </w:rPr>
              <w:t xml:space="preserve"> (</w:t>
            </w:r>
            <w:r w:rsidRPr="00AD69E1">
              <w:rPr>
                <w:lang w:val="en-GB"/>
              </w:rPr>
              <w:t>2021</w:t>
            </w:r>
            <w:r>
              <w:rPr>
                <w:lang w:val="en-GB"/>
              </w:rPr>
              <w:t xml:space="preserve">) </w:t>
            </w:r>
            <w:r w:rsidRPr="00AD69E1">
              <w:rPr>
                <w:lang w:val="en-GB"/>
              </w:rPr>
              <w:t>563 final</w:t>
            </w:r>
          </w:p>
        </w:tc>
      </w:tr>
    </w:tbl>
    <w:p w14:paraId="6CA48E3D" w14:textId="77777777" w:rsidR="00DA038A" w:rsidRPr="005005F3" w:rsidRDefault="00DA038A" w:rsidP="00DA038A">
      <w:pPr>
        <w:rPr>
          <w:lang w:val="en-GB"/>
        </w:rPr>
      </w:pPr>
    </w:p>
    <w:p w14:paraId="7FF1A215" w14:textId="77777777" w:rsidR="00DA038A" w:rsidRPr="005005F3" w:rsidRDefault="00DA038A" w:rsidP="00DA038A">
      <w:pPr>
        <w:spacing w:after="160" w:line="259" w:lineRule="auto"/>
        <w:jc w:val="left"/>
        <w:rPr>
          <w:lang w:val="en-GB"/>
        </w:rPr>
      </w:pPr>
      <w:r w:rsidRPr="005005F3">
        <w:rPr>
          <w:lang w:val="en-GB"/>
        </w:rPr>
        <w:br w:type="page"/>
      </w:r>
    </w:p>
    <w:p w14:paraId="0C7E6445" w14:textId="00D5A435" w:rsidR="00DA038A" w:rsidRDefault="008D014E" w:rsidP="00B04DB1">
      <w:pPr>
        <w:jc w:val="center"/>
        <w:rPr>
          <w:b/>
          <w:lang w:val="en-GB"/>
        </w:rPr>
      </w:pPr>
      <w:r>
        <w:rPr>
          <w:b/>
        </w:rPr>
        <w:lastRenderedPageBreak/>
        <w:t>Working document</w:t>
      </w:r>
      <w:r w:rsidR="00DA038A" w:rsidRPr="005005F3">
        <w:rPr>
          <w:b/>
          <w:lang w:val="en-GB"/>
        </w:rPr>
        <w:t xml:space="preserve"> </w:t>
      </w:r>
      <w:r w:rsidR="0033646B" w:rsidRPr="005005F3">
        <w:rPr>
          <w:b/>
          <w:lang w:val="en-GB"/>
        </w:rPr>
        <w:t>–</w:t>
      </w:r>
      <w:r w:rsidR="005005F3" w:rsidRPr="005005F3">
        <w:rPr>
          <w:b/>
          <w:lang w:val="en-GB"/>
        </w:rPr>
        <w:br/>
      </w:r>
      <w:r w:rsidR="00AD69E1" w:rsidRPr="00AD69E1">
        <w:rPr>
          <w:b/>
          <w:lang w:val="en-GB"/>
        </w:rPr>
        <w:t>Towards a socially fair implementation of the Green Deal</w:t>
      </w:r>
    </w:p>
    <w:p w14:paraId="0B2B2656" w14:textId="77777777" w:rsidR="00973D99" w:rsidRPr="00B04DB1" w:rsidRDefault="00973D99" w:rsidP="00B04DB1">
      <w:pPr>
        <w:jc w:val="center"/>
        <w:rPr>
          <w:b/>
          <w:lang w:val="en-GB"/>
        </w:rPr>
      </w:pPr>
    </w:p>
    <w:p w14:paraId="67D94F8E" w14:textId="77777777" w:rsidR="00DA038A" w:rsidRPr="0088273D" w:rsidRDefault="00DA038A" w:rsidP="00DA038A">
      <w:pPr>
        <w:rPr>
          <w:lang w:val="en-GB"/>
        </w:rPr>
      </w:pPr>
    </w:p>
    <w:p w14:paraId="5BB06822" w14:textId="79A4622B" w:rsidR="00973D99" w:rsidRPr="00B364BF" w:rsidRDefault="008D014E" w:rsidP="00973D99">
      <w:pPr>
        <w:keepNext/>
        <w:numPr>
          <w:ilvl w:val="0"/>
          <w:numId w:val="3"/>
        </w:numPr>
        <w:overflowPunct w:val="0"/>
        <w:autoSpaceDE w:val="0"/>
        <w:autoSpaceDN w:val="0"/>
        <w:adjustRightInd w:val="0"/>
        <w:ind w:left="567" w:hanging="567"/>
        <w:textAlignment w:val="baseline"/>
        <w:rPr>
          <w:b/>
          <w:bCs/>
        </w:rPr>
      </w:pPr>
      <w:r>
        <w:rPr>
          <w:b/>
          <w:bCs/>
        </w:rPr>
        <w:t>Background</w:t>
      </w:r>
      <w:r w:rsidR="00C8680B">
        <w:rPr>
          <w:b/>
          <w:bCs/>
        </w:rPr>
        <w:t xml:space="preserve"> information</w:t>
      </w:r>
    </w:p>
    <w:p w14:paraId="1E13A69B" w14:textId="3257163D" w:rsidR="00E947BA" w:rsidRDefault="00E947BA" w:rsidP="00E947BA"/>
    <w:p w14:paraId="46B0ABA6" w14:textId="40C71726" w:rsidR="003905C9" w:rsidRDefault="00C8680B" w:rsidP="00E947BA">
      <w:r>
        <w:t xml:space="preserve">The Commission proposed a set of </w:t>
      </w:r>
      <w:r w:rsidR="000753EA">
        <w:t xml:space="preserve">changes in the legal framework of energy policy </w:t>
      </w:r>
      <w:proofErr w:type="gramStart"/>
      <w:r w:rsidR="000753EA">
        <w:t>in order to</w:t>
      </w:r>
      <w:proofErr w:type="gramEnd"/>
      <w:r w:rsidR="000753EA">
        <w:t xml:space="preserve"> safeguard climate neutrality goals. </w:t>
      </w:r>
      <w:r w:rsidR="003905C9">
        <w:t>The opinion aims at two major elements of the legislative package:</w:t>
      </w:r>
    </w:p>
    <w:p w14:paraId="30CFD9D5" w14:textId="66E9E6B4" w:rsidR="003905C9" w:rsidRDefault="0010432A" w:rsidP="003905C9">
      <w:pPr>
        <w:pStyle w:val="Listaszerbekezds"/>
        <w:numPr>
          <w:ilvl w:val="0"/>
          <w:numId w:val="5"/>
        </w:numPr>
      </w:pPr>
      <w:r>
        <w:t xml:space="preserve">the review of </w:t>
      </w:r>
      <w:r w:rsidR="003905C9">
        <w:t>energy taxes</w:t>
      </w:r>
      <w:r w:rsidR="00DE30A4">
        <w:t>, where the main shifts are as follows:</w:t>
      </w:r>
    </w:p>
    <w:p w14:paraId="3644643A" w14:textId="6098F511" w:rsidR="00DE30A4" w:rsidRDefault="00DE30A4" w:rsidP="00DE30A4">
      <w:pPr>
        <w:pStyle w:val="Listaszerbekezds"/>
        <w:numPr>
          <w:ilvl w:val="2"/>
          <w:numId w:val="5"/>
        </w:numPr>
      </w:pPr>
      <w:r>
        <w:t>higher taxes to reduce consumption</w:t>
      </w:r>
      <w:r w:rsidR="00035EC6">
        <w:t>,</w:t>
      </w:r>
    </w:p>
    <w:p w14:paraId="728FF043" w14:textId="66FE8A01" w:rsidR="00DE30A4" w:rsidRDefault="006E00E7" w:rsidP="00DE30A4">
      <w:pPr>
        <w:pStyle w:val="Listaszerbekezds"/>
        <w:numPr>
          <w:ilvl w:val="2"/>
          <w:numId w:val="5"/>
        </w:numPr>
      </w:pPr>
      <w:r>
        <w:t>the higher the climate effect of the consumption, the higher the tax</w:t>
      </w:r>
      <w:r w:rsidR="00035EC6">
        <w:t>,</w:t>
      </w:r>
    </w:p>
    <w:p w14:paraId="352C0F1B" w14:textId="58DE3B62" w:rsidR="006F5A87" w:rsidRDefault="00455AC4" w:rsidP="00DE30A4">
      <w:pPr>
        <w:pStyle w:val="Listaszerbekezds"/>
        <w:numPr>
          <w:ilvl w:val="2"/>
          <w:numId w:val="5"/>
        </w:numPr>
      </w:pPr>
      <w:r>
        <w:t xml:space="preserve">taxes will be calculated based on energy content instead of </w:t>
      </w:r>
      <w:r w:rsidR="00035EC6">
        <w:t>liters and tons.</w:t>
      </w:r>
    </w:p>
    <w:p w14:paraId="1442A2D5" w14:textId="77777777" w:rsidR="009C500E" w:rsidRDefault="0010432A" w:rsidP="003905C9">
      <w:pPr>
        <w:pStyle w:val="Listaszerbekezds"/>
        <w:numPr>
          <w:ilvl w:val="0"/>
          <w:numId w:val="5"/>
        </w:numPr>
      </w:pPr>
      <w:r>
        <w:t xml:space="preserve">launching the European Fund tackling the poverty issues related to higher </w:t>
      </w:r>
      <w:r w:rsidR="00DE30A4">
        <w:t>energy bills, namely the Social Climate Fund</w:t>
      </w:r>
      <w:r w:rsidR="006F5A87">
        <w:t xml:space="preserve"> with a proposed budget of </w:t>
      </w:r>
      <w:r w:rsidR="00D379FD" w:rsidRPr="00D379FD">
        <w:t>72 200 000 000</w:t>
      </w:r>
      <w:r w:rsidR="00D379FD">
        <w:t xml:space="preserve"> euros for the 2025-2032 period</w:t>
      </w:r>
      <w:r w:rsidR="009C500E">
        <w:t>, aiming at</w:t>
      </w:r>
    </w:p>
    <w:p w14:paraId="2B9117C5" w14:textId="072367B4" w:rsidR="009C500E" w:rsidRDefault="009C500E" w:rsidP="009C500E">
      <w:pPr>
        <w:pStyle w:val="Listaszerbekezds"/>
        <w:numPr>
          <w:ilvl w:val="2"/>
          <w:numId w:val="5"/>
        </w:numPr>
      </w:pPr>
      <w:r>
        <w:t xml:space="preserve">compensate the higher bills caused by the proposed higher taxes for </w:t>
      </w:r>
      <w:proofErr w:type="gramStart"/>
      <w:r>
        <w:t xml:space="preserve">micro </w:t>
      </w:r>
      <w:r w:rsidR="00616C05">
        <w:t>SMEs</w:t>
      </w:r>
      <w:proofErr w:type="gramEnd"/>
      <w:r w:rsidR="00616C05">
        <w:t xml:space="preserve"> and households</w:t>
      </w:r>
      <w:r>
        <w:t>,</w:t>
      </w:r>
    </w:p>
    <w:p w14:paraId="001B6DC1" w14:textId="5BA20555" w:rsidR="0010432A" w:rsidRDefault="00616C05" w:rsidP="009C500E">
      <w:pPr>
        <w:pStyle w:val="Listaszerbekezds"/>
        <w:numPr>
          <w:ilvl w:val="2"/>
          <w:numId w:val="5"/>
        </w:numPr>
      </w:pPr>
      <w:r>
        <w:t>support energy efficiency in transport</w:t>
      </w:r>
      <w:r w:rsidR="00C331A2">
        <w:t xml:space="preserve"> and</w:t>
      </w:r>
      <w:r>
        <w:t xml:space="preserve"> housing of vulnerable groups</w:t>
      </w:r>
      <w:r w:rsidR="00C331A2">
        <w:t xml:space="preserve">, and also for vulnerable </w:t>
      </w:r>
      <w:proofErr w:type="gramStart"/>
      <w:r w:rsidR="00C331A2">
        <w:t>micro SMEs</w:t>
      </w:r>
      <w:proofErr w:type="gramEnd"/>
      <w:r w:rsidR="00DE30A4">
        <w:t>.</w:t>
      </w:r>
    </w:p>
    <w:p w14:paraId="1D02AEB1" w14:textId="69F18B91" w:rsidR="00C8680B" w:rsidRDefault="00C8680B" w:rsidP="00E947BA"/>
    <w:p w14:paraId="35AE0911" w14:textId="44244279" w:rsidR="00310EF3" w:rsidRDefault="00A01DBC" w:rsidP="00E947BA">
      <w:proofErr w:type="gramStart"/>
      <w:r>
        <w:t>In order to</w:t>
      </w:r>
      <w:proofErr w:type="gramEnd"/>
      <w:r>
        <w:t xml:space="preserve"> get an insight in the current situation of households, </w:t>
      </w:r>
      <w:r w:rsidR="00FD3886">
        <w:t xml:space="preserve">we should look into EUROSTAT data, so we can understand in detail how households will be affected. In the recent </w:t>
      </w:r>
      <w:r w:rsidR="00310EF3">
        <w:t xml:space="preserve">Recommendation of the Commission, we can read that </w:t>
      </w:r>
      <w:r w:rsidR="00D24EA8">
        <w:t>`</w:t>
      </w:r>
      <w:r w:rsidR="00D24EA8" w:rsidRPr="00D24EA8">
        <w:t xml:space="preserve"> </w:t>
      </w:r>
      <w:r w:rsidR="00D24EA8" w:rsidRPr="00D24EA8">
        <w:rPr>
          <w:i/>
          <w:iCs/>
        </w:rPr>
        <w:t xml:space="preserve">In 2018, 6,8 % of people living in private households across the EU (30,3 million </w:t>
      </w:r>
      <w:proofErr w:type="gramStart"/>
      <w:r w:rsidR="00D24EA8" w:rsidRPr="00D24EA8">
        <w:rPr>
          <w:i/>
          <w:iCs/>
        </w:rPr>
        <w:t>people(</w:t>
      </w:r>
      <w:proofErr w:type="gramEnd"/>
      <w:r w:rsidR="00D24EA8" w:rsidRPr="00D24EA8">
        <w:rPr>
          <w:i/>
          <w:iCs/>
        </w:rPr>
        <w:t xml:space="preserve">15)) were unable to keep up with utility bills, including energy bills, and so were at risk of having their supply cut off. Meanwhile, 7,3 % of the EU population (37,4 million people) experienced uncomfortable ambient temperatures in their </w:t>
      </w:r>
      <w:proofErr w:type="gramStart"/>
      <w:r w:rsidR="00D24EA8" w:rsidRPr="00D24EA8">
        <w:rPr>
          <w:i/>
          <w:iCs/>
        </w:rPr>
        <w:t>homes.</w:t>
      </w:r>
      <w:r w:rsidR="00D24EA8">
        <w:t>`</w:t>
      </w:r>
      <w:proofErr w:type="gramEnd"/>
      <w:r w:rsidR="003347C9">
        <w:rPr>
          <w:rStyle w:val="Lbjegyzet-hivatkozs"/>
        </w:rPr>
        <w:footnoteReference w:id="1"/>
      </w:r>
      <w:r w:rsidR="001F485C">
        <w:t xml:space="preserve">, but without territorial analysis it </w:t>
      </w:r>
      <w:r w:rsidR="00292D81">
        <w:t>might be misleading, see tables below, based on EUROSTAT data from 2019:</w:t>
      </w:r>
    </w:p>
    <w:p w14:paraId="3E170708" w14:textId="77777777" w:rsidR="00292D81" w:rsidRDefault="00292D81" w:rsidP="00E947BA"/>
    <w:tbl>
      <w:tblPr>
        <w:tblW w:w="3320" w:type="dxa"/>
        <w:tblCellMar>
          <w:left w:w="70" w:type="dxa"/>
          <w:right w:w="70" w:type="dxa"/>
        </w:tblCellMar>
        <w:tblLook w:val="04A0" w:firstRow="1" w:lastRow="0" w:firstColumn="1" w:lastColumn="0" w:noHBand="0" w:noVBand="1"/>
      </w:tblPr>
      <w:tblGrid>
        <w:gridCol w:w="1492"/>
        <w:gridCol w:w="1828"/>
      </w:tblGrid>
      <w:tr w:rsidR="00292D81" w:rsidRPr="00407773" w14:paraId="565BD2B6" w14:textId="77777777" w:rsidTr="00C066F9">
        <w:trPr>
          <w:trHeight w:val="285"/>
        </w:trPr>
        <w:tc>
          <w:tcPr>
            <w:tcW w:w="3320" w:type="dxa"/>
            <w:gridSpan w:val="2"/>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28AEABA" w14:textId="77777777" w:rsidR="00292D81" w:rsidRPr="00407773" w:rsidRDefault="00292D81" w:rsidP="00C066F9">
            <w:pPr>
              <w:spacing w:line="240" w:lineRule="auto"/>
              <w:jc w:val="center"/>
              <w:rPr>
                <w:rFonts w:ascii="Arial" w:hAnsi="Arial" w:cs="Arial"/>
                <w:i/>
                <w:iCs/>
                <w:sz w:val="20"/>
                <w:szCs w:val="20"/>
                <w:lang w:val="hu-HU" w:eastAsia="hu-HU"/>
              </w:rPr>
            </w:pPr>
            <w:proofErr w:type="spellStart"/>
            <w:r w:rsidRPr="00407773">
              <w:rPr>
                <w:rFonts w:ascii="Arial" w:hAnsi="Arial" w:cs="Arial"/>
                <w:i/>
                <w:iCs/>
                <w:sz w:val="20"/>
                <w:szCs w:val="20"/>
                <w:lang w:val="hu-HU" w:eastAsia="hu-HU"/>
              </w:rPr>
              <w:t>Arrears</w:t>
            </w:r>
            <w:proofErr w:type="spellEnd"/>
            <w:r w:rsidRPr="00407773">
              <w:rPr>
                <w:rFonts w:ascii="Arial" w:hAnsi="Arial" w:cs="Arial"/>
                <w:i/>
                <w:iCs/>
                <w:sz w:val="20"/>
                <w:szCs w:val="20"/>
                <w:lang w:val="hu-HU" w:eastAsia="hu-HU"/>
              </w:rPr>
              <w:t xml:space="preserve"> </w:t>
            </w:r>
            <w:proofErr w:type="spellStart"/>
            <w:r w:rsidRPr="00407773">
              <w:rPr>
                <w:rFonts w:ascii="Arial" w:hAnsi="Arial" w:cs="Arial"/>
                <w:i/>
                <w:iCs/>
                <w:sz w:val="20"/>
                <w:szCs w:val="20"/>
                <w:lang w:val="hu-HU" w:eastAsia="hu-HU"/>
              </w:rPr>
              <w:t>on</w:t>
            </w:r>
            <w:proofErr w:type="spellEnd"/>
            <w:r w:rsidRPr="00407773">
              <w:rPr>
                <w:rFonts w:ascii="Arial" w:hAnsi="Arial" w:cs="Arial"/>
                <w:i/>
                <w:iCs/>
                <w:sz w:val="20"/>
                <w:szCs w:val="20"/>
                <w:lang w:val="hu-HU" w:eastAsia="hu-HU"/>
              </w:rPr>
              <w:t xml:space="preserve"> </w:t>
            </w:r>
            <w:proofErr w:type="spellStart"/>
            <w:r w:rsidRPr="00407773">
              <w:rPr>
                <w:rFonts w:ascii="Arial" w:hAnsi="Arial" w:cs="Arial"/>
                <w:i/>
                <w:iCs/>
                <w:sz w:val="20"/>
                <w:szCs w:val="20"/>
                <w:lang w:val="hu-HU" w:eastAsia="hu-HU"/>
              </w:rPr>
              <w:t>utility</w:t>
            </w:r>
            <w:proofErr w:type="spellEnd"/>
            <w:r w:rsidRPr="00407773">
              <w:rPr>
                <w:rFonts w:ascii="Arial" w:hAnsi="Arial" w:cs="Arial"/>
                <w:i/>
                <w:iCs/>
                <w:sz w:val="20"/>
                <w:szCs w:val="20"/>
                <w:lang w:val="hu-HU" w:eastAsia="hu-HU"/>
              </w:rPr>
              <w:t xml:space="preserve"> </w:t>
            </w:r>
            <w:proofErr w:type="spellStart"/>
            <w:r w:rsidRPr="00407773">
              <w:rPr>
                <w:rFonts w:ascii="Arial" w:hAnsi="Arial" w:cs="Arial"/>
                <w:i/>
                <w:iCs/>
                <w:sz w:val="20"/>
                <w:szCs w:val="20"/>
                <w:lang w:val="hu-HU" w:eastAsia="hu-HU"/>
              </w:rPr>
              <w:t>bills</w:t>
            </w:r>
            <w:proofErr w:type="spellEnd"/>
            <w:r w:rsidRPr="00407773">
              <w:rPr>
                <w:rFonts w:ascii="Arial" w:hAnsi="Arial" w:cs="Arial"/>
                <w:i/>
                <w:iCs/>
                <w:sz w:val="20"/>
                <w:szCs w:val="20"/>
                <w:lang w:val="hu-HU" w:eastAsia="hu-HU"/>
              </w:rPr>
              <w:t>, 2019</w:t>
            </w:r>
          </w:p>
        </w:tc>
      </w:tr>
      <w:tr w:rsidR="00292D81" w:rsidRPr="00407773" w14:paraId="722F2F7D"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1BAF74C0" w14:textId="77777777" w:rsidR="00292D81" w:rsidRPr="00407773" w:rsidRDefault="00292D81" w:rsidP="00C066F9">
            <w:pPr>
              <w:spacing w:line="240" w:lineRule="auto"/>
              <w:jc w:val="center"/>
              <w:rPr>
                <w:rFonts w:ascii="Arial" w:hAnsi="Arial" w:cs="Arial"/>
                <w:b/>
                <w:bCs/>
                <w:sz w:val="20"/>
                <w:szCs w:val="20"/>
                <w:lang w:val="hu-HU" w:eastAsia="hu-HU"/>
              </w:rPr>
            </w:pPr>
            <w:proofErr w:type="spellStart"/>
            <w:r w:rsidRPr="00407773">
              <w:rPr>
                <w:rFonts w:ascii="Arial" w:hAnsi="Arial" w:cs="Arial"/>
                <w:b/>
                <w:bCs/>
                <w:sz w:val="20"/>
                <w:szCs w:val="20"/>
                <w:lang w:val="hu-HU" w:eastAsia="hu-HU"/>
              </w:rPr>
              <w:t>member</w:t>
            </w:r>
            <w:proofErr w:type="spellEnd"/>
            <w:r w:rsidRPr="00407773">
              <w:rPr>
                <w:rFonts w:ascii="Arial" w:hAnsi="Arial" w:cs="Arial"/>
                <w:b/>
                <w:bCs/>
                <w:sz w:val="20"/>
                <w:szCs w:val="20"/>
                <w:lang w:val="hu-HU" w:eastAsia="hu-HU"/>
              </w:rPr>
              <w:t xml:space="preserve"> </w:t>
            </w:r>
            <w:proofErr w:type="spellStart"/>
            <w:r w:rsidRPr="00407773">
              <w:rPr>
                <w:rFonts w:ascii="Arial" w:hAnsi="Arial" w:cs="Arial"/>
                <w:b/>
                <w:bCs/>
                <w:sz w:val="20"/>
                <w:szCs w:val="20"/>
                <w:lang w:val="hu-HU" w:eastAsia="hu-HU"/>
              </w:rPr>
              <w:t>state</w:t>
            </w:r>
            <w:proofErr w:type="spellEnd"/>
          </w:p>
        </w:tc>
        <w:tc>
          <w:tcPr>
            <w:tcW w:w="1828" w:type="dxa"/>
            <w:tcBorders>
              <w:top w:val="nil"/>
              <w:left w:val="nil"/>
              <w:bottom w:val="single" w:sz="4" w:space="0" w:color="000000"/>
              <w:right w:val="single" w:sz="4" w:space="0" w:color="000000"/>
            </w:tcBorders>
            <w:shd w:val="clear" w:color="000000" w:fill="99CCFF"/>
            <w:noWrap/>
            <w:vAlign w:val="bottom"/>
            <w:hideMark/>
          </w:tcPr>
          <w:p w14:paraId="351E9B0E" w14:textId="77777777" w:rsidR="00292D81" w:rsidRPr="00407773" w:rsidRDefault="00292D81" w:rsidP="00C066F9">
            <w:pPr>
              <w:spacing w:line="240" w:lineRule="auto"/>
              <w:jc w:val="center"/>
              <w:rPr>
                <w:rFonts w:ascii="Arial" w:hAnsi="Arial" w:cs="Arial"/>
                <w:b/>
                <w:bCs/>
                <w:sz w:val="20"/>
                <w:szCs w:val="20"/>
                <w:lang w:val="hu-HU" w:eastAsia="hu-HU"/>
              </w:rPr>
            </w:pPr>
            <w:r w:rsidRPr="00407773">
              <w:rPr>
                <w:rFonts w:ascii="Arial" w:hAnsi="Arial" w:cs="Arial"/>
                <w:b/>
                <w:bCs/>
                <w:sz w:val="20"/>
                <w:szCs w:val="20"/>
                <w:lang w:val="hu-HU" w:eastAsia="hu-HU"/>
              </w:rPr>
              <w:t xml:space="preserve">% of </w:t>
            </w:r>
            <w:proofErr w:type="spellStart"/>
            <w:r w:rsidRPr="00407773">
              <w:rPr>
                <w:rFonts w:ascii="Arial" w:hAnsi="Arial" w:cs="Arial"/>
                <w:b/>
                <w:bCs/>
                <w:sz w:val="20"/>
                <w:szCs w:val="20"/>
                <w:lang w:val="hu-HU" w:eastAsia="hu-HU"/>
              </w:rPr>
              <w:t>households</w:t>
            </w:r>
            <w:proofErr w:type="spellEnd"/>
          </w:p>
        </w:tc>
      </w:tr>
      <w:tr w:rsidR="00292D81" w:rsidRPr="00407773" w14:paraId="439C9B59"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173DD296"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Greece</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39C487DA"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32.5</w:t>
            </w:r>
          </w:p>
        </w:tc>
      </w:tr>
      <w:tr w:rsidR="00292D81" w:rsidRPr="00407773" w14:paraId="0E316266"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6A008769"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Bulgaria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3157BE6E"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27.6</w:t>
            </w:r>
          </w:p>
        </w:tc>
      </w:tr>
      <w:tr w:rsidR="00292D81" w:rsidRPr="00407773" w14:paraId="150EC073"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17988DC4"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Croatia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52836035"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14.8</w:t>
            </w:r>
          </w:p>
        </w:tc>
      </w:tr>
      <w:tr w:rsidR="00292D81" w:rsidRPr="00407773" w14:paraId="05DE9D03"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71F9C488"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Romania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15F57D8F"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13.7</w:t>
            </w:r>
          </w:p>
        </w:tc>
      </w:tr>
      <w:tr w:rsidR="00292D81" w:rsidRPr="00407773" w14:paraId="356FCA04"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483A2932"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Slovenia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7A4B4A56"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11.2</w:t>
            </w:r>
          </w:p>
        </w:tc>
      </w:tr>
      <w:tr w:rsidR="00292D81" w:rsidRPr="00407773" w14:paraId="11C24333"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1CA5D033"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Cyprus</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2030F8B7"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10.4</w:t>
            </w:r>
          </w:p>
        </w:tc>
      </w:tr>
      <w:tr w:rsidR="00292D81" w:rsidRPr="00407773" w14:paraId="7455B9CC"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6498B046" w14:textId="77777777" w:rsidR="00292D81" w:rsidRPr="00407773" w:rsidRDefault="00292D81" w:rsidP="00C066F9">
            <w:pPr>
              <w:spacing w:line="240" w:lineRule="auto"/>
              <w:jc w:val="left"/>
              <w:rPr>
                <w:rFonts w:ascii="Arial" w:hAnsi="Arial" w:cs="Arial"/>
                <w:sz w:val="20"/>
                <w:szCs w:val="20"/>
                <w:lang w:val="hu-HU" w:eastAsia="hu-HU"/>
              </w:rPr>
            </w:pPr>
            <w:r w:rsidRPr="00407773">
              <w:rPr>
                <w:rFonts w:ascii="Arial" w:hAnsi="Arial" w:cs="Arial"/>
                <w:sz w:val="20"/>
                <w:szCs w:val="20"/>
                <w:lang w:val="hu-HU" w:eastAsia="hu-HU"/>
              </w:rPr>
              <w:t>Hungary</w:t>
            </w:r>
          </w:p>
        </w:tc>
        <w:tc>
          <w:tcPr>
            <w:tcW w:w="1828" w:type="dxa"/>
            <w:tcBorders>
              <w:top w:val="nil"/>
              <w:left w:val="nil"/>
              <w:bottom w:val="single" w:sz="4" w:space="0" w:color="000000"/>
              <w:right w:val="single" w:sz="4" w:space="0" w:color="000000"/>
            </w:tcBorders>
            <w:shd w:val="clear" w:color="auto" w:fill="auto"/>
            <w:noWrap/>
            <w:vAlign w:val="bottom"/>
            <w:hideMark/>
          </w:tcPr>
          <w:p w14:paraId="50AF68D6"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10.2</w:t>
            </w:r>
          </w:p>
        </w:tc>
      </w:tr>
      <w:tr w:rsidR="00292D81" w:rsidRPr="00407773" w14:paraId="21B60636"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17C5C212"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Ireland</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18B2E2DD"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8.9</w:t>
            </w:r>
          </w:p>
        </w:tc>
      </w:tr>
      <w:tr w:rsidR="00292D81" w:rsidRPr="00407773" w14:paraId="20DEC5FD"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5F191BDC"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Latvia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614EA362"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8.7</w:t>
            </w:r>
          </w:p>
        </w:tc>
      </w:tr>
      <w:tr w:rsidR="00292D81" w:rsidRPr="00407773" w14:paraId="5E1174CF"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1D5E3728"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Slovakia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4276AE81"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8.4</w:t>
            </w:r>
          </w:p>
        </w:tc>
      </w:tr>
      <w:tr w:rsidR="00292D81" w:rsidRPr="00407773" w14:paraId="78A42EB5"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5EBB2341"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Finland</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4C4470B2"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7.8</w:t>
            </w:r>
          </w:p>
        </w:tc>
      </w:tr>
      <w:tr w:rsidR="00292D81" w:rsidRPr="00407773" w14:paraId="1D4F3EC7"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4DA0D1FC"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Lithuania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2DA490AE"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7.5</w:t>
            </w:r>
          </w:p>
        </w:tc>
      </w:tr>
      <w:tr w:rsidR="00292D81" w:rsidRPr="00407773" w14:paraId="09FDC985"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04280A6D"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Estonia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0F249892"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7.2</w:t>
            </w:r>
          </w:p>
        </w:tc>
      </w:tr>
      <w:tr w:rsidR="00292D81" w:rsidRPr="00407773" w14:paraId="0CC8D212"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6828BACC" w14:textId="77777777" w:rsidR="00292D81" w:rsidRPr="00407773" w:rsidRDefault="00292D81" w:rsidP="00C066F9">
            <w:pPr>
              <w:spacing w:line="240" w:lineRule="auto"/>
              <w:jc w:val="left"/>
              <w:rPr>
                <w:rFonts w:ascii="Arial" w:hAnsi="Arial" w:cs="Arial"/>
                <w:sz w:val="20"/>
                <w:szCs w:val="20"/>
                <w:lang w:val="hu-HU" w:eastAsia="hu-HU"/>
              </w:rPr>
            </w:pPr>
            <w:r w:rsidRPr="00407773">
              <w:rPr>
                <w:rFonts w:ascii="Arial" w:hAnsi="Arial" w:cs="Arial"/>
                <w:sz w:val="20"/>
                <w:szCs w:val="20"/>
                <w:lang w:val="hu-HU" w:eastAsia="hu-HU"/>
              </w:rPr>
              <w:t>Spain</w:t>
            </w:r>
          </w:p>
        </w:tc>
        <w:tc>
          <w:tcPr>
            <w:tcW w:w="1828" w:type="dxa"/>
            <w:tcBorders>
              <w:top w:val="nil"/>
              <w:left w:val="nil"/>
              <w:bottom w:val="single" w:sz="4" w:space="0" w:color="000000"/>
              <w:right w:val="single" w:sz="4" w:space="0" w:color="000000"/>
            </w:tcBorders>
            <w:shd w:val="clear" w:color="auto" w:fill="auto"/>
            <w:noWrap/>
            <w:vAlign w:val="bottom"/>
            <w:hideMark/>
          </w:tcPr>
          <w:p w14:paraId="7D9308E2"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6.5</w:t>
            </w:r>
          </w:p>
        </w:tc>
      </w:tr>
      <w:tr w:rsidR="00292D81" w:rsidRPr="00407773" w14:paraId="111D3AF6"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0F2FBBB5"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lastRenderedPageBreak/>
              <w:t>Malta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3540C6F3"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6.5</w:t>
            </w:r>
          </w:p>
        </w:tc>
      </w:tr>
      <w:tr w:rsidR="00292D81" w:rsidRPr="00407773" w14:paraId="36CD9E1D"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296BAB50" w14:textId="77777777" w:rsidR="00292D81" w:rsidRPr="00407773" w:rsidRDefault="00292D81" w:rsidP="00C066F9">
            <w:pPr>
              <w:spacing w:line="240" w:lineRule="auto"/>
              <w:jc w:val="left"/>
              <w:rPr>
                <w:rFonts w:ascii="Arial" w:hAnsi="Arial" w:cs="Arial"/>
                <w:sz w:val="20"/>
                <w:szCs w:val="20"/>
                <w:lang w:val="hu-HU" w:eastAsia="hu-HU"/>
              </w:rPr>
            </w:pPr>
            <w:r w:rsidRPr="00407773">
              <w:rPr>
                <w:rFonts w:ascii="Arial" w:hAnsi="Arial" w:cs="Arial"/>
                <w:sz w:val="20"/>
                <w:szCs w:val="20"/>
                <w:lang w:val="hu-HU" w:eastAsia="hu-HU"/>
              </w:rPr>
              <w:t>Poland</w:t>
            </w:r>
          </w:p>
        </w:tc>
        <w:tc>
          <w:tcPr>
            <w:tcW w:w="1828" w:type="dxa"/>
            <w:tcBorders>
              <w:top w:val="nil"/>
              <w:left w:val="nil"/>
              <w:bottom w:val="single" w:sz="4" w:space="0" w:color="000000"/>
              <w:right w:val="single" w:sz="4" w:space="0" w:color="000000"/>
            </w:tcBorders>
            <w:shd w:val="clear" w:color="auto" w:fill="auto"/>
            <w:noWrap/>
            <w:vAlign w:val="bottom"/>
            <w:hideMark/>
          </w:tcPr>
          <w:p w14:paraId="2297DB87"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5.8</w:t>
            </w:r>
          </w:p>
        </w:tc>
      </w:tr>
      <w:tr w:rsidR="00292D81" w:rsidRPr="00407773" w14:paraId="3D8BDF67"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093790BC" w14:textId="77777777" w:rsidR="00292D81" w:rsidRPr="00407773" w:rsidRDefault="00292D81" w:rsidP="00C066F9">
            <w:pPr>
              <w:spacing w:line="240" w:lineRule="auto"/>
              <w:jc w:val="left"/>
              <w:rPr>
                <w:rFonts w:ascii="Arial" w:hAnsi="Arial" w:cs="Arial"/>
                <w:sz w:val="20"/>
                <w:szCs w:val="20"/>
                <w:lang w:val="hu-HU" w:eastAsia="hu-HU"/>
              </w:rPr>
            </w:pPr>
            <w:r w:rsidRPr="00407773">
              <w:rPr>
                <w:rFonts w:ascii="Arial" w:hAnsi="Arial" w:cs="Arial"/>
                <w:sz w:val="20"/>
                <w:szCs w:val="20"/>
                <w:lang w:val="hu-HU" w:eastAsia="hu-HU"/>
              </w:rPr>
              <w:t>France</w:t>
            </w:r>
          </w:p>
        </w:tc>
        <w:tc>
          <w:tcPr>
            <w:tcW w:w="1828" w:type="dxa"/>
            <w:tcBorders>
              <w:top w:val="nil"/>
              <w:left w:val="nil"/>
              <w:bottom w:val="single" w:sz="4" w:space="0" w:color="000000"/>
              <w:right w:val="single" w:sz="4" w:space="0" w:color="000000"/>
            </w:tcBorders>
            <w:shd w:val="clear" w:color="auto" w:fill="auto"/>
            <w:noWrap/>
            <w:vAlign w:val="bottom"/>
            <w:hideMark/>
          </w:tcPr>
          <w:p w14:paraId="33B839BD"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5.6</w:t>
            </w:r>
          </w:p>
        </w:tc>
      </w:tr>
      <w:tr w:rsidR="00292D81" w:rsidRPr="00407773" w14:paraId="523BDD6C"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3A0640CB"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Italy</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1CF08570"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4.5</w:t>
            </w:r>
          </w:p>
        </w:tc>
      </w:tr>
      <w:tr w:rsidR="00292D81" w:rsidRPr="00407773" w14:paraId="06EF096D"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5DAA59DD"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Portugal</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6B46671F"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4.3</w:t>
            </w:r>
          </w:p>
        </w:tc>
      </w:tr>
      <w:tr w:rsidR="00292D81" w:rsidRPr="00407773" w14:paraId="1C0B7CC2"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1B494323" w14:textId="77777777" w:rsidR="00292D81" w:rsidRPr="00407773" w:rsidRDefault="00292D81" w:rsidP="00C066F9">
            <w:pPr>
              <w:spacing w:line="240" w:lineRule="auto"/>
              <w:jc w:val="left"/>
              <w:rPr>
                <w:rFonts w:ascii="Arial" w:hAnsi="Arial" w:cs="Arial"/>
                <w:sz w:val="20"/>
                <w:szCs w:val="20"/>
                <w:lang w:val="hu-HU" w:eastAsia="hu-HU"/>
              </w:rPr>
            </w:pPr>
            <w:r w:rsidRPr="00407773">
              <w:rPr>
                <w:rFonts w:ascii="Arial" w:hAnsi="Arial" w:cs="Arial"/>
                <w:sz w:val="20"/>
                <w:szCs w:val="20"/>
                <w:lang w:val="hu-HU" w:eastAsia="hu-HU"/>
              </w:rPr>
              <w:t>Belgium</w:t>
            </w:r>
          </w:p>
        </w:tc>
        <w:tc>
          <w:tcPr>
            <w:tcW w:w="1828" w:type="dxa"/>
            <w:tcBorders>
              <w:top w:val="nil"/>
              <w:left w:val="nil"/>
              <w:bottom w:val="single" w:sz="4" w:space="0" w:color="000000"/>
              <w:right w:val="single" w:sz="4" w:space="0" w:color="000000"/>
            </w:tcBorders>
            <w:shd w:val="clear" w:color="auto" w:fill="auto"/>
            <w:noWrap/>
            <w:vAlign w:val="bottom"/>
            <w:hideMark/>
          </w:tcPr>
          <w:p w14:paraId="64A15374"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4.1</w:t>
            </w:r>
          </w:p>
        </w:tc>
      </w:tr>
      <w:tr w:rsidR="00292D81" w:rsidRPr="00407773" w14:paraId="0F270855"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7FBDDC5D"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Denmark</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31BBDD56"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3.6</w:t>
            </w:r>
          </w:p>
        </w:tc>
      </w:tr>
      <w:tr w:rsidR="00292D81" w:rsidRPr="00407773" w14:paraId="00F12819"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6777616B" w14:textId="77777777" w:rsidR="00292D81" w:rsidRPr="00407773" w:rsidRDefault="00292D81" w:rsidP="00C066F9">
            <w:pPr>
              <w:spacing w:line="240" w:lineRule="auto"/>
              <w:jc w:val="left"/>
              <w:rPr>
                <w:rFonts w:ascii="Arial" w:hAnsi="Arial" w:cs="Arial"/>
                <w:sz w:val="20"/>
                <w:szCs w:val="20"/>
                <w:lang w:val="hu-HU" w:eastAsia="hu-HU"/>
              </w:rPr>
            </w:pPr>
            <w:r w:rsidRPr="00407773">
              <w:rPr>
                <w:rFonts w:ascii="Arial" w:hAnsi="Arial" w:cs="Arial"/>
                <w:sz w:val="20"/>
                <w:szCs w:val="20"/>
                <w:lang w:val="hu-HU" w:eastAsia="hu-HU"/>
              </w:rPr>
              <w:t>Luxembourg</w:t>
            </w:r>
          </w:p>
        </w:tc>
        <w:tc>
          <w:tcPr>
            <w:tcW w:w="1828" w:type="dxa"/>
            <w:tcBorders>
              <w:top w:val="nil"/>
              <w:left w:val="nil"/>
              <w:bottom w:val="single" w:sz="4" w:space="0" w:color="000000"/>
              <w:right w:val="single" w:sz="4" w:space="0" w:color="000000"/>
            </w:tcBorders>
            <w:shd w:val="clear" w:color="auto" w:fill="auto"/>
            <w:noWrap/>
            <w:vAlign w:val="bottom"/>
            <w:hideMark/>
          </w:tcPr>
          <w:p w14:paraId="69E13D14"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2.4</w:t>
            </w:r>
          </w:p>
        </w:tc>
      </w:tr>
      <w:tr w:rsidR="00292D81" w:rsidRPr="00407773" w14:paraId="2CEB4065"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3E9BF5EA"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Austria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0035D9A5"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2.4</w:t>
            </w:r>
          </w:p>
        </w:tc>
      </w:tr>
      <w:tr w:rsidR="00292D81" w:rsidRPr="00407773" w14:paraId="6DF59162"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58123809"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Sweden</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4DFC9539"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2.3</w:t>
            </w:r>
          </w:p>
        </w:tc>
      </w:tr>
      <w:tr w:rsidR="00292D81" w:rsidRPr="00407773" w14:paraId="77CBB75F"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00D7491A"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Germany</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5E1C1E85"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2.2</w:t>
            </w:r>
          </w:p>
        </w:tc>
      </w:tr>
      <w:tr w:rsidR="00292D81" w:rsidRPr="00407773" w14:paraId="35F47456"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5D46A1C2"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Czechia</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79B87F31"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1.8</w:t>
            </w:r>
          </w:p>
        </w:tc>
      </w:tr>
      <w:tr w:rsidR="00292D81" w:rsidRPr="00407773" w14:paraId="08E45C82" w14:textId="77777777" w:rsidTr="00C066F9">
        <w:trPr>
          <w:trHeight w:val="285"/>
        </w:trPr>
        <w:tc>
          <w:tcPr>
            <w:tcW w:w="1492" w:type="dxa"/>
            <w:tcBorders>
              <w:top w:val="nil"/>
              <w:left w:val="single" w:sz="4" w:space="0" w:color="000000"/>
              <w:bottom w:val="single" w:sz="4" w:space="0" w:color="000000"/>
              <w:right w:val="single" w:sz="4" w:space="0" w:color="000000"/>
            </w:tcBorders>
            <w:shd w:val="clear" w:color="000000" w:fill="99CCFF"/>
            <w:noWrap/>
            <w:vAlign w:val="bottom"/>
            <w:hideMark/>
          </w:tcPr>
          <w:p w14:paraId="7E1FD2B1" w14:textId="77777777" w:rsidR="00292D81" w:rsidRPr="00407773" w:rsidRDefault="00292D81" w:rsidP="00C066F9">
            <w:pPr>
              <w:spacing w:line="240" w:lineRule="auto"/>
              <w:jc w:val="left"/>
              <w:rPr>
                <w:rFonts w:ascii="Arial" w:hAnsi="Arial" w:cs="Arial"/>
                <w:sz w:val="20"/>
                <w:szCs w:val="20"/>
                <w:lang w:val="hu-HU" w:eastAsia="hu-HU"/>
              </w:rPr>
            </w:pPr>
            <w:proofErr w:type="spellStart"/>
            <w:r w:rsidRPr="00407773">
              <w:rPr>
                <w:rFonts w:ascii="Arial" w:hAnsi="Arial" w:cs="Arial"/>
                <w:sz w:val="20"/>
                <w:szCs w:val="20"/>
                <w:lang w:val="hu-HU" w:eastAsia="hu-HU"/>
              </w:rPr>
              <w:t>Netherlands</w:t>
            </w:r>
            <w:proofErr w:type="spellEnd"/>
          </w:p>
        </w:tc>
        <w:tc>
          <w:tcPr>
            <w:tcW w:w="1828" w:type="dxa"/>
            <w:tcBorders>
              <w:top w:val="nil"/>
              <w:left w:val="nil"/>
              <w:bottom w:val="single" w:sz="4" w:space="0" w:color="000000"/>
              <w:right w:val="single" w:sz="4" w:space="0" w:color="000000"/>
            </w:tcBorders>
            <w:shd w:val="clear" w:color="auto" w:fill="auto"/>
            <w:noWrap/>
            <w:vAlign w:val="bottom"/>
            <w:hideMark/>
          </w:tcPr>
          <w:p w14:paraId="25E2CD22" w14:textId="77777777" w:rsidR="00292D81" w:rsidRPr="00407773" w:rsidRDefault="00292D81" w:rsidP="00C066F9">
            <w:pPr>
              <w:spacing w:line="240" w:lineRule="auto"/>
              <w:jc w:val="right"/>
              <w:rPr>
                <w:rFonts w:ascii="Arial" w:hAnsi="Arial" w:cs="Arial"/>
                <w:sz w:val="20"/>
                <w:szCs w:val="20"/>
                <w:lang w:val="hu-HU" w:eastAsia="hu-HU"/>
              </w:rPr>
            </w:pPr>
            <w:r w:rsidRPr="00407773">
              <w:rPr>
                <w:rFonts w:ascii="Arial" w:hAnsi="Arial" w:cs="Arial"/>
                <w:sz w:val="20"/>
                <w:szCs w:val="20"/>
                <w:lang w:val="hu-HU" w:eastAsia="hu-HU"/>
              </w:rPr>
              <w:t>1.5</w:t>
            </w:r>
          </w:p>
        </w:tc>
      </w:tr>
    </w:tbl>
    <w:p w14:paraId="3BBDA1D2" w14:textId="77777777" w:rsidR="00292D81" w:rsidRDefault="00292D81" w:rsidP="00292D81"/>
    <w:tbl>
      <w:tblPr>
        <w:tblW w:w="3700" w:type="dxa"/>
        <w:tblCellMar>
          <w:left w:w="70" w:type="dxa"/>
          <w:right w:w="70" w:type="dxa"/>
        </w:tblCellMar>
        <w:tblLook w:val="04A0" w:firstRow="1" w:lastRow="0" w:firstColumn="1" w:lastColumn="0" w:noHBand="0" w:noVBand="1"/>
      </w:tblPr>
      <w:tblGrid>
        <w:gridCol w:w="1663"/>
        <w:gridCol w:w="2037"/>
      </w:tblGrid>
      <w:tr w:rsidR="00292D81" w:rsidRPr="00E32217" w14:paraId="155733D1" w14:textId="77777777" w:rsidTr="00C066F9">
        <w:trPr>
          <w:trHeight w:val="285"/>
        </w:trPr>
        <w:tc>
          <w:tcPr>
            <w:tcW w:w="3700" w:type="dxa"/>
            <w:gridSpan w:val="2"/>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4F5D0C6" w14:textId="77777777" w:rsidR="00292D81" w:rsidRPr="00E32217" w:rsidRDefault="00292D81" w:rsidP="00C066F9">
            <w:pPr>
              <w:spacing w:line="240" w:lineRule="auto"/>
              <w:jc w:val="center"/>
              <w:rPr>
                <w:rFonts w:ascii="Arial" w:hAnsi="Arial" w:cs="Arial"/>
                <w:i/>
                <w:iCs/>
                <w:sz w:val="20"/>
                <w:szCs w:val="20"/>
                <w:lang w:val="hu-HU" w:eastAsia="hu-HU"/>
              </w:rPr>
            </w:pPr>
            <w:proofErr w:type="spellStart"/>
            <w:r w:rsidRPr="00E32217">
              <w:rPr>
                <w:rFonts w:ascii="Arial" w:hAnsi="Arial" w:cs="Arial"/>
                <w:i/>
                <w:iCs/>
                <w:sz w:val="20"/>
                <w:szCs w:val="20"/>
                <w:lang w:val="hu-HU" w:eastAsia="hu-HU"/>
              </w:rPr>
              <w:t>Inability</w:t>
            </w:r>
            <w:proofErr w:type="spellEnd"/>
            <w:r w:rsidRPr="00E32217">
              <w:rPr>
                <w:rFonts w:ascii="Arial" w:hAnsi="Arial" w:cs="Arial"/>
                <w:i/>
                <w:iCs/>
                <w:sz w:val="20"/>
                <w:szCs w:val="20"/>
                <w:lang w:val="hu-HU" w:eastAsia="hu-HU"/>
              </w:rPr>
              <w:t xml:space="preserve"> </w:t>
            </w:r>
            <w:proofErr w:type="spellStart"/>
            <w:r w:rsidRPr="00E32217">
              <w:rPr>
                <w:rFonts w:ascii="Arial" w:hAnsi="Arial" w:cs="Arial"/>
                <w:i/>
                <w:iCs/>
                <w:sz w:val="20"/>
                <w:szCs w:val="20"/>
                <w:lang w:val="hu-HU" w:eastAsia="hu-HU"/>
              </w:rPr>
              <w:t>to</w:t>
            </w:r>
            <w:proofErr w:type="spellEnd"/>
            <w:r w:rsidRPr="00E32217">
              <w:rPr>
                <w:rFonts w:ascii="Arial" w:hAnsi="Arial" w:cs="Arial"/>
                <w:i/>
                <w:iCs/>
                <w:sz w:val="20"/>
                <w:szCs w:val="20"/>
                <w:lang w:val="hu-HU" w:eastAsia="hu-HU"/>
              </w:rPr>
              <w:t xml:space="preserve"> </w:t>
            </w:r>
            <w:proofErr w:type="spellStart"/>
            <w:r w:rsidRPr="00E32217">
              <w:rPr>
                <w:rFonts w:ascii="Arial" w:hAnsi="Arial" w:cs="Arial"/>
                <w:i/>
                <w:iCs/>
                <w:sz w:val="20"/>
                <w:szCs w:val="20"/>
                <w:lang w:val="hu-HU" w:eastAsia="hu-HU"/>
              </w:rPr>
              <w:t>keep</w:t>
            </w:r>
            <w:proofErr w:type="spellEnd"/>
            <w:r w:rsidRPr="00E32217">
              <w:rPr>
                <w:rFonts w:ascii="Arial" w:hAnsi="Arial" w:cs="Arial"/>
                <w:i/>
                <w:iCs/>
                <w:sz w:val="20"/>
                <w:szCs w:val="20"/>
                <w:lang w:val="hu-HU" w:eastAsia="hu-HU"/>
              </w:rPr>
              <w:t xml:space="preserve"> </w:t>
            </w:r>
            <w:proofErr w:type="spellStart"/>
            <w:r w:rsidRPr="00E32217">
              <w:rPr>
                <w:rFonts w:ascii="Arial" w:hAnsi="Arial" w:cs="Arial"/>
                <w:i/>
                <w:iCs/>
                <w:sz w:val="20"/>
                <w:szCs w:val="20"/>
                <w:lang w:val="hu-HU" w:eastAsia="hu-HU"/>
              </w:rPr>
              <w:t>home</w:t>
            </w:r>
            <w:proofErr w:type="spellEnd"/>
            <w:r w:rsidRPr="00E32217">
              <w:rPr>
                <w:rFonts w:ascii="Arial" w:hAnsi="Arial" w:cs="Arial"/>
                <w:i/>
                <w:iCs/>
                <w:sz w:val="20"/>
                <w:szCs w:val="20"/>
                <w:lang w:val="hu-HU" w:eastAsia="hu-HU"/>
              </w:rPr>
              <w:t xml:space="preserve"> </w:t>
            </w:r>
            <w:proofErr w:type="spellStart"/>
            <w:r w:rsidRPr="00E32217">
              <w:rPr>
                <w:rFonts w:ascii="Arial" w:hAnsi="Arial" w:cs="Arial"/>
                <w:i/>
                <w:iCs/>
                <w:sz w:val="20"/>
                <w:szCs w:val="20"/>
                <w:lang w:val="hu-HU" w:eastAsia="hu-HU"/>
              </w:rPr>
              <w:t>adequately</w:t>
            </w:r>
            <w:proofErr w:type="spellEnd"/>
            <w:r w:rsidRPr="00E32217">
              <w:rPr>
                <w:rFonts w:ascii="Arial" w:hAnsi="Arial" w:cs="Arial"/>
                <w:i/>
                <w:iCs/>
                <w:sz w:val="20"/>
                <w:szCs w:val="20"/>
                <w:lang w:val="hu-HU" w:eastAsia="hu-HU"/>
              </w:rPr>
              <w:t xml:space="preserve"> </w:t>
            </w:r>
            <w:proofErr w:type="spellStart"/>
            <w:r w:rsidRPr="00E32217">
              <w:rPr>
                <w:rFonts w:ascii="Arial" w:hAnsi="Arial" w:cs="Arial"/>
                <w:i/>
                <w:iCs/>
                <w:sz w:val="20"/>
                <w:szCs w:val="20"/>
                <w:lang w:val="hu-HU" w:eastAsia="hu-HU"/>
              </w:rPr>
              <w:t>warm</w:t>
            </w:r>
            <w:proofErr w:type="spellEnd"/>
            <w:r>
              <w:rPr>
                <w:rFonts w:ascii="Arial" w:hAnsi="Arial" w:cs="Arial"/>
                <w:i/>
                <w:iCs/>
                <w:sz w:val="20"/>
                <w:szCs w:val="20"/>
                <w:lang w:val="hu-HU" w:eastAsia="hu-HU"/>
              </w:rPr>
              <w:t>, 2019</w:t>
            </w:r>
          </w:p>
        </w:tc>
      </w:tr>
      <w:tr w:rsidR="00292D81" w:rsidRPr="00E32217" w14:paraId="21CB31C2"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4D6BA461" w14:textId="77777777" w:rsidR="00292D81" w:rsidRPr="00E32217" w:rsidRDefault="00292D81" w:rsidP="00C066F9">
            <w:pPr>
              <w:spacing w:line="240" w:lineRule="auto"/>
              <w:jc w:val="center"/>
              <w:rPr>
                <w:rFonts w:ascii="Arial" w:hAnsi="Arial" w:cs="Arial"/>
                <w:b/>
                <w:bCs/>
                <w:sz w:val="20"/>
                <w:szCs w:val="20"/>
                <w:lang w:val="hu-HU" w:eastAsia="hu-HU"/>
              </w:rPr>
            </w:pPr>
            <w:proofErr w:type="spellStart"/>
            <w:r w:rsidRPr="00E32217">
              <w:rPr>
                <w:rFonts w:ascii="Arial" w:hAnsi="Arial" w:cs="Arial"/>
                <w:b/>
                <w:bCs/>
                <w:sz w:val="20"/>
                <w:szCs w:val="20"/>
                <w:lang w:val="hu-HU" w:eastAsia="hu-HU"/>
              </w:rPr>
              <w:t>member</w:t>
            </w:r>
            <w:proofErr w:type="spellEnd"/>
            <w:r w:rsidRPr="00E32217">
              <w:rPr>
                <w:rFonts w:ascii="Arial" w:hAnsi="Arial" w:cs="Arial"/>
                <w:b/>
                <w:bCs/>
                <w:sz w:val="20"/>
                <w:szCs w:val="20"/>
                <w:lang w:val="hu-HU" w:eastAsia="hu-HU"/>
              </w:rPr>
              <w:t xml:space="preserve"> </w:t>
            </w:r>
            <w:proofErr w:type="spellStart"/>
            <w:r w:rsidRPr="00E32217">
              <w:rPr>
                <w:rFonts w:ascii="Arial" w:hAnsi="Arial" w:cs="Arial"/>
                <w:b/>
                <w:bCs/>
                <w:sz w:val="20"/>
                <w:szCs w:val="20"/>
                <w:lang w:val="hu-HU" w:eastAsia="hu-HU"/>
              </w:rPr>
              <w:t>state</w:t>
            </w:r>
            <w:proofErr w:type="spellEnd"/>
          </w:p>
        </w:tc>
        <w:tc>
          <w:tcPr>
            <w:tcW w:w="2037" w:type="dxa"/>
            <w:tcBorders>
              <w:top w:val="nil"/>
              <w:left w:val="nil"/>
              <w:bottom w:val="single" w:sz="4" w:space="0" w:color="000000"/>
              <w:right w:val="single" w:sz="4" w:space="0" w:color="000000"/>
            </w:tcBorders>
            <w:shd w:val="clear" w:color="000000" w:fill="99CCFF"/>
            <w:noWrap/>
            <w:vAlign w:val="bottom"/>
            <w:hideMark/>
          </w:tcPr>
          <w:p w14:paraId="358DF3B5" w14:textId="77777777" w:rsidR="00292D81" w:rsidRPr="00E32217" w:rsidRDefault="00292D81" w:rsidP="00C066F9">
            <w:pPr>
              <w:spacing w:line="240" w:lineRule="auto"/>
              <w:jc w:val="center"/>
              <w:rPr>
                <w:rFonts w:ascii="Arial" w:hAnsi="Arial" w:cs="Arial"/>
                <w:b/>
                <w:bCs/>
                <w:sz w:val="20"/>
                <w:szCs w:val="20"/>
                <w:lang w:val="hu-HU" w:eastAsia="hu-HU"/>
              </w:rPr>
            </w:pPr>
            <w:r w:rsidRPr="00E32217">
              <w:rPr>
                <w:rFonts w:ascii="Arial" w:hAnsi="Arial" w:cs="Arial"/>
                <w:b/>
                <w:bCs/>
                <w:sz w:val="20"/>
                <w:szCs w:val="20"/>
                <w:lang w:val="hu-HU" w:eastAsia="hu-HU"/>
              </w:rPr>
              <w:t xml:space="preserve">% of </w:t>
            </w:r>
            <w:proofErr w:type="spellStart"/>
            <w:r w:rsidRPr="00E32217">
              <w:rPr>
                <w:rFonts w:ascii="Arial" w:hAnsi="Arial" w:cs="Arial"/>
                <w:b/>
                <w:bCs/>
                <w:sz w:val="20"/>
                <w:szCs w:val="20"/>
                <w:lang w:val="hu-HU" w:eastAsia="hu-HU"/>
              </w:rPr>
              <w:t>households</w:t>
            </w:r>
            <w:proofErr w:type="spellEnd"/>
          </w:p>
        </w:tc>
      </w:tr>
      <w:tr w:rsidR="00292D81" w:rsidRPr="00E32217" w14:paraId="19DE366C"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0B40B280"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Bulgaria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4C0C95DE"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30.1</w:t>
            </w:r>
          </w:p>
        </w:tc>
      </w:tr>
      <w:tr w:rsidR="00292D81" w:rsidRPr="00E32217" w14:paraId="1A133882"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7CDA9FBA"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Lithuania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6A2EA23F"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26.7</w:t>
            </w:r>
          </w:p>
        </w:tc>
      </w:tr>
      <w:tr w:rsidR="00292D81" w:rsidRPr="00E32217" w14:paraId="313EF8D7"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6E6BA319"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Cyprus</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325CE80D"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21.0</w:t>
            </w:r>
          </w:p>
        </w:tc>
      </w:tr>
      <w:tr w:rsidR="00292D81" w:rsidRPr="00E32217" w14:paraId="02DD3765"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57DD19D5"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Portugal</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5834F664"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18.9</w:t>
            </w:r>
          </w:p>
        </w:tc>
      </w:tr>
      <w:tr w:rsidR="00292D81" w:rsidRPr="00E32217" w14:paraId="4683683D"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7BA2C1BB"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Greece</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2DEF0AF0"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17.9</w:t>
            </w:r>
          </w:p>
        </w:tc>
      </w:tr>
      <w:tr w:rsidR="00292D81" w:rsidRPr="00E32217" w14:paraId="3073D58A"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3A42B7D7"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Italy</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2C93781E"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11.1</w:t>
            </w:r>
          </w:p>
        </w:tc>
      </w:tr>
      <w:tr w:rsidR="00292D81" w:rsidRPr="00E32217" w14:paraId="7715DDAF"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66D3E346"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Romania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69C2F3F5"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9.3</w:t>
            </w:r>
          </w:p>
        </w:tc>
      </w:tr>
      <w:tr w:rsidR="00292D81" w:rsidRPr="00E32217" w14:paraId="4283A2A3"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1CE6810E"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Latvia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51F1C0F0"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8.0</w:t>
            </w:r>
          </w:p>
        </w:tc>
      </w:tr>
      <w:tr w:rsidR="00292D81" w:rsidRPr="00E32217" w14:paraId="4FDF2863"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4F030CD3"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Malta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430FCAAD"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7.8</w:t>
            </w:r>
          </w:p>
        </w:tc>
      </w:tr>
      <w:tr w:rsidR="00292D81" w:rsidRPr="00E32217" w14:paraId="79314639"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3F1D3A21"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Slovakia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5F4BC77F"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7.8</w:t>
            </w:r>
          </w:p>
        </w:tc>
      </w:tr>
      <w:tr w:rsidR="00292D81" w:rsidRPr="00E32217" w14:paraId="40CCE0C3"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725FF8E8" w14:textId="77777777" w:rsidR="00292D81" w:rsidRPr="00E32217" w:rsidRDefault="00292D81" w:rsidP="00C066F9">
            <w:pPr>
              <w:spacing w:line="240" w:lineRule="auto"/>
              <w:jc w:val="left"/>
              <w:rPr>
                <w:rFonts w:ascii="Arial" w:hAnsi="Arial" w:cs="Arial"/>
                <w:sz w:val="20"/>
                <w:szCs w:val="20"/>
                <w:lang w:val="hu-HU" w:eastAsia="hu-HU"/>
              </w:rPr>
            </w:pPr>
            <w:r w:rsidRPr="00E32217">
              <w:rPr>
                <w:rFonts w:ascii="Arial" w:hAnsi="Arial" w:cs="Arial"/>
                <w:sz w:val="20"/>
                <w:szCs w:val="20"/>
                <w:lang w:val="hu-HU" w:eastAsia="hu-HU"/>
              </w:rPr>
              <w:t>Spain</w:t>
            </w:r>
          </w:p>
        </w:tc>
        <w:tc>
          <w:tcPr>
            <w:tcW w:w="2037" w:type="dxa"/>
            <w:tcBorders>
              <w:top w:val="nil"/>
              <w:left w:val="nil"/>
              <w:bottom w:val="single" w:sz="4" w:space="0" w:color="000000"/>
              <w:right w:val="single" w:sz="4" w:space="0" w:color="000000"/>
            </w:tcBorders>
            <w:shd w:val="clear" w:color="auto" w:fill="auto"/>
            <w:noWrap/>
            <w:vAlign w:val="bottom"/>
            <w:hideMark/>
          </w:tcPr>
          <w:p w14:paraId="66DCD464"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7.5</w:t>
            </w:r>
          </w:p>
        </w:tc>
      </w:tr>
      <w:tr w:rsidR="00292D81" w:rsidRPr="00E32217" w14:paraId="1C4BA849"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0ED769EA"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Croatia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7906FE03"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6.6</w:t>
            </w:r>
          </w:p>
        </w:tc>
      </w:tr>
      <w:tr w:rsidR="00292D81" w:rsidRPr="00E32217" w14:paraId="5C905409"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1D83C147" w14:textId="77777777" w:rsidR="00292D81" w:rsidRPr="00E32217" w:rsidRDefault="00292D81" w:rsidP="00C066F9">
            <w:pPr>
              <w:spacing w:line="240" w:lineRule="auto"/>
              <w:jc w:val="left"/>
              <w:rPr>
                <w:rFonts w:ascii="Arial" w:hAnsi="Arial" w:cs="Arial"/>
                <w:sz w:val="20"/>
                <w:szCs w:val="20"/>
                <w:lang w:val="hu-HU" w:eastAsia="hu-HU"/>
              </w:rPr>
            </w:pPr>
            <w:r w:rsidRPr="00E32217">
              <w:rPr>
                <w:rFonts w:ascii="Arial" w:hAnsi="Arial" w:cs="Arial"/>
                <w:sz w:val="20"/>
                <w:szCs w:val="20"/>
                <w:lang w:val="hu-HU" w:eastAsia="hu-HU"/>
              </w:rPr>
              <w:t>France</w:t>
            </w:r>
          </w:p>
        </w:tc>
        <w:tc>
          <w:tcPr>
            <w:tcW w:w="2037" w:type="dxa"/>
            <w:tcBorders>
              <w:top w:val="nil"/>
              <w:left w:val="nil"/>
              <w:bottom w:val="single" w:sz="4" w:space="0" w:color="000000"/>
              <w:right w:val="single" w:sz="4" w:space="0" w:color="000000"/>
            </w:tcBorders>
            <w:shd w:val="clear" w:color="auto" w:fill="auto"/>
            <w:noWrap/>
            <w:vAlign w:val="bottom"/>
            <w:hideMark/>
          </w:tcPr>
          <w:p w14:paraId="629A8294"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6.2</w:t>
            </w:r>
          </w:p>
        </w:tc>
      </w:tr>
      <w:tr w:rsidR="00292D81" w:rsidRPr="00E32217" w14:paraId="5A55AD82"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27F4C92B" w14:textId="77777777" w:rsidR="00292D81" w:rsidRPr="00E32217" w:rsidRDefault="00292D81" w:rsidP="00C066F9">
            <w:pPr>
              <w:spacing w:line="240" w:lineRule="auto"/>
              <w:jc w:val="left"/>
              <w:rPr>
                <w:rFonts w:ascii="Arial" w:hAnsi="Arial" w:cs="Arial"/>
                <w:sz w:val="20"/>
                <w:szCs w:val="20"/>
                <w:lang w:val="hu-HU" w:eastAsia="hu-HU"/>
              </w:rPr>
            </w:pPr>
            <w:r w:rsidRPr="00E32217">
              <w:rPr>
                <w:rFonts w:ascii="Arial" w:hAnsi="Arial" w:cs="Arial"/>
                <w:sz w:val="20"/>
                <w:szCs w:val="20"/>
                <w:lang w:val="hu-HU" w:eastAsia="hu-HU"/>
              </w:rPr>
              <w:t>Hungary</w:t>
            </w:r>
          </w:p>
        </w:tc>
        <w:tc>
          <w:tcPr>
            <w:tcW w:w="2037" w:type="dxa"/>
            <w:tcBorders>
              <w:top w:val="nil"/>
              <w:left w:val="nil"/>
              <w:bottom w:val="single" w:sz="4" w:space="0" w:color="000000"/>
              <w:right w:val="single" w:sz="4" w:space="0" w:color="000000"/>
            </w:tcBorders>
            <w:shd w:val="clear" w:color="auto" w:fill="auto"/>
            <w:noWrap/>
            <w:vAlign w:val="bottom"/>
            <w:hideMark/>
          </w:tcPr>
          <w:p w14:paraId="74D63FAC"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5.4</w:t>
            </w:r>
          </w:p>
        </w:tc>
      </w:tr>
      <w:tr w:rsidR="00292D81" w:rsidRPr="00E32217" w14:paraId="273BDA29"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23EE302A"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Ireland</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03BA903B"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4.9</w:t>
            </w:r>
          </w:p>
        </w:tc>
      </w:tr>
      <w:tr w:rsidR="00292D81" w:rsidRPr="00E32217" w14:paraId="166E6820"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3E2D2F9C" w14:textId="77777777" w:rsidR="00292D81" w:rsidRPr="00E32217" w:rsidRDefault="00292D81" w:rsidP="00C066F9">
            <w:pPr>
              <w:spacing w:line="240" w:lineRule="auto"/>
              <w:jc w:val="left"/>
              <w:rPr>
                <w:rFonts w:ascii="Arial" w:hAnsi="Arial" w:cs="Arial"/>
                <w:sz w:val="20"/>
                <w:szCs w:val="20"/>
                <w:lang w:val="hu-HU" w:eastAsia="hu-HU"/>
              </w:rPr>
            </w:pPr>
            <w:r w:rsidRPr="00E32217">
              <w:rPr>
                <w:rFonts w:ascii="Arial" w:hAnsi="Arial" w:cs="Arial"/>
                <w:sz w:val="20"/>
                <w:szCs w:val="20"/>
                <w:lang w:val="hu-HU" w:eastAsia="hu-HU"/>
              </w:rPr>
              <w:t>Poland</w:t>
            </w:r>
          </w:p>
        </w:tc>
        <w:tc>
          <w:tcPr>
            <w:tcW w:w="2037" w:type="dxa"/>
            <w:tcBorders>
              <w:top w:val="nil"/>
              <w:left w:val="nil"/>
              <w:bottom w:val="single" w:sz="4" w:space="0" w:color="000000"/>
              <w:right w:val="single" w:sz="4" w:space="0" w:color="000000"/>
            </w:tcBorders>
            <w:shd w:val="clear" w:color="auto" w:fill="auto"/>
            <w:noWrap/>
            <w:vAlign w:val="bottom"/>
            <w:hideMark/>
          </w:tcPr>
          <w:p w14:paraId="66884FE8"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4.2</w:t>
            </w:r>
          </w:p>
        </w:tc>
      </w:tr>
      <w:tr w:rsidR="00292D81" w:rsidRPr="00E32217" w14:paraId="3AC63775"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249D5C3C" w14:textId="77777777" w:rsidR="00292D81" w:rsidRPr="00E32217" w:rsidRDefault="00292D81" w:rsidP="00C066F9">
            <w:pPr>
              <w:spacing w:line="240" w:lineRule="auto"/>
              <w:jc w:val="left"/>
              <w:rPr>
                <w:rFonts w:ascii="Arial" w:hAnsi="Arial" w:cs="Arial"/>
                <w:sz w:val="20"/>
                <w:szCs w:val="20"/>
                <w:lang w:val="hu-HU" w:eastAsia="hu-HU"/>
              </w:rPr>
            </w:pPr>
            <w:r w:rsidRPr="00E32217">
              <w:rPr>
                <w:rFonts w:ascii="Arial" w:hAnsi="Arial" w:cs="Arial"/>
                <w:sz w:val="20"/>
                <w:szCs w:val="20"/>
                <w:lang w:val="hu-HU" w:eastAsia="hu-HU"/>
              </w:rPr>
              <w:t>Belgium</w:t>
            </w:r>
          </w:p>
        </w:tc>
        <w:tc>
          <w:tcPr>
            <w:tcW w:w="2037" w:type="dxa"/>
            <w:tcBorders>
              <w:top w:val="nil"/>
              <w:left w:val="nil"/>
              <w:bottom w:val="single" w:sz="4" w:space="0" w:color="000000"/>
              <w:right w:val="single" w:sz="4" w:space="0" w:color="000000"/>
            </w:tcBorders>
            <w:shd w:val="clear" w:color="auto" w:fill="auto"/>
            <w:noWrap/>
            <w:vAlign w:val="bottom"/>
            <w:hideMark/>
          </w:tcPr>
          <w:p w14:paraId="43E81DA6"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3.9</w:t>
            </w:r>
          </w:p>
        </w:tc>
      </w:tr>
      <w:tr w:rsidR="00292D81" w:rsidRPr="00E32217" w14:paraId="717F93B0"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614A4849"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Netherlands</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79C40EFA"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3.0</w:t>
            </w:r>
          </w:p>
        </w:tc>
      </w:tr>
      <w:tr w:rsidR="00292D81" w:rsidRPr="00E32217" w14:paraId="5D546EA2"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4651C557"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Czechia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4A0C84EE"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2.8</w:t>
            </w:r>
          </w:p>
        </w:tc>
      </w:tr>
      <w:tr w:rsidR="00292D81" w:rsidRPr="00E32217" w14:paraId="40D252F3"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0B252455"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Denmark</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2AEF7E70"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2.8</w:t>
            </w:r>
          </w:p>
        </w:tc>
      </w:tr>
      <w:tr w:rsidR="00292D81" w:rsidRPr="00E32217" w14:paraId="415D83D7"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5FC4F9F6"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Germany</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22B6295C"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2.5</w:t>
            </w:r>
          </w:p>
        </w:tc>
      </w:tr>
      <w:tr w:rsidR="00292D81" w:rsidRPr="00E32217" w14:paraId="6017C0F2"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3B97ABA4"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Estonia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44A098EE"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2.5</w:t>
            </w:r>
          </w:p>
        </w:tc>
      </w:tr>
      <w:tr w:rsidR="00292D81" w:rsidRPr="00E32217" w14:paraId="5DB27DAD"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0A51DFA1" w14:textId="77777777" w:rsidR="00292D81" w:rsidRPr="00E32217" w:rsidRDefault="00292D81" w:rsidP="00C066F9">
            <w:pPr>
              <w:spacing w:line="240" w:lineRule="auto"/>
              <w:jc w:val="left"/>
              <w:rPr>
                <w:rFonts w:ascii="Arial" w:hAnsi="Arial" w:cs="Arial"/>
                <w:sz w:val="20"/>
                <w:szCs w:val="20"/>
                <w:lang w:val="hu-HU" w:eastAsia="hu-HU"/>
              </w:rPr>
            </w:pPr>
            <w:r w:rsidRPr="00E32217">
              <w:rPr>
                <w:rFonts w:ascii="Arial" w:hAnsi="Arial" w:cs="Arial"/>
                <w:sz w:val="20"/>
                <w:szCs w:val="20"/>
                <w:lang w:val="hu-HU" w:eastAsia="hu-HU"/>
              </w:rPr>
              <w:t>Luxembourg</w:t>
            </w:r>
          </w:p>
        </w:tc>
        <w:tc>
          <w:tcPr>
            <w:tcW w:w="2037" w:type="dxa"/>
            <w:tcBorders>
              <w:top w:val="nil"/>
              <w:left w:val="nil"/>
              <w:bottom w:val="single" w:sz="4" w:space="0" w:color="000000"/>
              <w:right w:val="single" w:sz="4" w:space="0" w:color="000000"/>
            </w:tcBorders>
            <w:shd w:val="clear" w:color="auto" w:fill="auto"/>
            <w:noWrap/>
            <w:vAlign w:val="bottom"/>
            <w:hideMark/>
          </w:tcPr>
          <w:p w14:paraId="01FCE38E"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2.4</w:t>
            </w:r>
          </w:p>
        </w:tc>
      </w:tr>
      <w:tr w:rsidR="00292D81" w:rsidRPr="00E32217" w14:paraId="599CFDA3"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238C2D71"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Slovenia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53B81F7E"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2.3</w:t>
            </w:r>
          </w:p>
        </w:tc>
      </w:tr>
      <w:tr w:rsidR="00292D81" w:rsidRPr="00E32217" w14:paraId="49AFCA08"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76BB4063"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Sweden</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08A1FE92"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1.9</w:t>
            </w:r>
          </w:p>
        </w:tc>
      </w:tr>
      <w:tr w:rsidR="00292D81" w:rsidRPr="00E32217" w14:paraId="1E8AB3A6"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77E66813"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Austria</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5D339291"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1.8</w:t>
            </w:r>
          </w:p>
        </w:tc>
      </w:tr>
      <w:tr w:rsidR="00292D81" w:rsidRPr="00E32217" w14:paraId="3395CD5C" w14:textId="77777777" w:rsidTr="00C066F9">
        <w:trPr>
          <w:trHeight w:val="285"/>
        </w:trPr>
        <w:tc>
          <w:tcPr>
            <w:tcW w:w="1663" w:type="dxa"/>
            <w:tcBorders>
              <w:top w:val="nil"/>
              <w:left w:val="single" w:sz="4" w:space="0" w:color="000000"/>
              <w:bottom w:val="single" w:sz="4" w:space="0" w:color="000000"/>
              <w:right w:val="single" w:sz="4" w:space="0" w:color="000000"/>
            </w:tcBorders>
            <w:shd w:val="clear" w:color="000000" w:fill="99CCFF"/>
            <w:noWrap/>
            <w:vAlign w:val="bottom"/>
            <w:hideMark/>
          </w:tcPr>
          <w:p w14:paraId="4A1A9B28" w14:textId="77777777" w:rsidR="00292D81" w:rsidRPr="00E32217" w:rsidRDefault="00292D81" w:rsidP="00C066F9">
            <w:pPr>
              <w:spacing w:line="240" w:lineRule="auto"/>
              <w:jc w:val="left"/>
              <w:rPr>
                <w:rFonts w:ascii="Arial" w:hAnsi="Arial" w:cs="Arial"/>
                <w:sz w:val="20"/>
                <w:szCs w:val="20"/>
                <w:lang w:val="hu-HU" w:eastAsia="hu-HU"/>
              </w:rPr>
            </w:pPr>
            <w:proofErr w:type="spellStart"/>
            <w:r w:rsidRPr="00E32217">
              <w:rPr>
                <w:rFonts w:ascii="Arial" w:hAnsi="Arial" w:cs="Arial"/>
                <w:sz w:val="20"/>
                <w:szCs w:val="20"/>
                <w:lang w:val="hu-HU" w:eastAsia="hu-HU"/>
              </w:rPr>
              <w:t>Finland</w:t>
            </w:r>
            <w:proofErr w:type="spellEnd"/>
          </w:p>
        </w:tc>
        <w:tc>
          <w:tcPr>
            <w:tcW w:w="2037" w:type="dxa"/>
            <w:tcBorders>
              <w:top w:val="nil"/>
              <w:left w:val="nil"/>
              <w:bottom w:val="single" w:sz="4" w:space="0" w:color="000000"/>
              <w:right w:val="single" w:sz="4" w:space="0" w:color="000000"/>
            </w:tcBorders>
            <w:shd w:val="clear" w:color="auto" w:fill="auto"/>
            <w:noWrap/>
            <w:vAlign w:val="bottom"/>
            <w:hideMark/>
          </w:tcPr>
          <w:p w14:paraId="79BF1BAE" w14:textId="77777777" w:rsidR="00292D81" w:rsidRPr="00E32217" w:rsidRDefault="00292D81" w:rsidP="00C066F9">
            <w:pPr>
              <w:spacing w:line="240" w:lineRule="auto"/>
              <w:jc w:val="right"/>
              <w:rPr>
                <w:rFonts w:ascii="Arial" w:hAnsi="Arial" w:cs="Arial"/>
                <w:sz w:val="20"/>
                <w:szCs w:val="20"/>
                <w:lang w:val="hu-HU" w:eastAsia="hu-HU"/>
              </w:rPr>
            </w:pPr>
            <w:r w:rsidRPr="00E32217">
              <w:rPr>
                <w:rFonts w:ascii="Arial" w:hAnsi="Arial" w:cs="Arial"/>
                <w:sz w:val="20"/>
                <w:szCs w:val="20"/>
                <w:lang w:val="hu-HU" w:eastAsia="hu-HU"/>
              </w:rPr>
              <w:t>1.8</w:t>
            </w:r>
          </w:p>
        </w:tc>
      </w:tr>
    </w:tbl>
    <w:p w14:paraId="136C8538" w14:textId="453F8405" w:rsidR="00292D81" w:rsidRDefault="00292D81" w:rsidP="00E947BA"/>
    <w:p w14:paraId="30B88304" w14:textId="0B7B9CE2" w:rsidR="00292D81" w:rsidRDefault="00235192" w:rsidP="00E947BA">
      <w:r>
        <w:t xml:space="preserve">13 out of 27 member states have </w:t>
      </w:r>
      <w:r w:rsidR="00AD5753">
        <w:t xml:space="preserve">households who cannot keep up with energy bills, their share ranging from 7.2% to 32.5%. 11 member states </w:t>
      </w:r>
      <w:proofErr w:type="gramStart"/>
      <w:r w:rsidR="00AD5753">
        <w:t>faces</w:t>
      </w:r>
      <w:proofErr w:type="gramEnd"/>
      <w:r w:rsidR="00AD5753">
        <w:t xml:space="preserve"> higher than average share of households </w:t>
      </w:r>
      <w:r w:rsidR="00EB2A64">
        <w:t xml:space="preserve">experiencing low </w:t>
      </w:r>
      <w:r w:rsidR="00EB2A64">
        <w:lastRenderedPageBreak/>
        <w:t>thermal comfort in the dwelling</w:t>
      </w:r>
      <w:r w:rsidR="00CA5589">
        <w:t>, between 7.5% and 30.1%.</w:t>
      </w:r>
      <w:r w:rsidR="002C0293">
        <w:t xml:space="preserve"> In countries with more than 10% of households in any of the </w:t>
      </w:r>
      <w:proofErr w:type="gramStart"/>
      <w:r w:rsidR="002C0293">
        <w:t>above mentioned</w:t>
      </w:r>
      <w:proofErr w:type="gramEnd"/>
      <w:r w:rsidR="002C0293">
        <w:t xml:space="preserve"> situations, it is </w:t>
      </w:r>
      <w:r w:rsidR="00614C34">
        <w:t xml:space="preserve">very unlikely that soft measures can alleviate their situation, because </w:t>
      </w:r>
      <w:r w:rsidR="00896847">
        <w:t>higher prices might push the values up easily, escalating the figures</w:t>
      </w:r>
      <w:r w:rsidR="00BC08E8">
        <w:t>.</w:t>
      </w:r>
    </w:p>
    <w:p w14:paraId="728425A5" w14:textId="2DA875CB" w:rsidR="00455AC4" w:rsidRDefault="00CB4634" w:rsidP="00E947BA">
      <w:r>
        <w:t>Buildings</w:t>
      </w:r>
      <w:r w:rsidR="00310EF3">
        <w:t xml:space="preserve"> are responsible for </w:t>
      </w:r>
      <w:r>
        <w:t xml:space="preserve">more than </w:t>
      </w:r>
      <w:r w:rsidR="007A6D2B">
        <w:t>36</w:t>
      </w:r>
      <w:r>
        <w:t xml:space="preserve">% of the total </w:t>
      </w:r>
      <w:r w:rsidR="007A6D2B">
        <w:t xml:space="preserve">GHG </w:t>
      </w:r>
      <w:r w:rsidR="000F6157">
        <w:t>emission</w:t>
      </w:r>
      <w:r>
        <w:t xml:space="preserve"> in the EU, while transportation </w:t>
      </w:r>
      <w:r w:rsidR="006E00B3">
        <w:t xml:space="preserve">for </w:t>
      </w:r>
      <w:r w:rsidR="007A6D2B">
        <w:t xml:space="preserve">less than 30% of </w:t>
      </w:r>
      <w:r w:rsidR="000F6157">
        <w:t xml:space="preserve">it. It seams easy to tell that </w:t>
      </w:r>
      <w:r w:rsidR="009063BB">
        <w:t xml:space="preserve">member states should tax these sectors more, and at the same time from 2026 </w:t>
      </w:r>
      <w:r w:rsidR="00E87EE0">
        <w:t xml:space="preserve">buildings and </w:t>
      </w:r>
      <w:r w:rsidR="00627639">
        <w:t>transport is going to be subjects of the Emission Trading System – a part of which is planned to be used for financi</w:t>
      </w:r>
      <w:r w:rsidR="0056555F">
        <w:t>ng action for the most vulnerable groups of households and SMEs via the Social Climate Fund.</w:t>
      </w:r>
    </w:p>
    <w:p w14:paraId="32BBAE76" w14:textId="5F5B578D" w:rsidR="00BC08E8" w:rsidRDefault="00BC08E8" w:rsidP="00E947BA">
      <w:proofErr w:type="gramStart"/>
      <w:r>
        <w:t>Also</w:t>
      </w:r>
      <w:proofErr w:type="gramEnd"/>
      <w:r>
        <w:t xml:space="preserve"> in the case of </w:t>
      </w:r>
      <w:r w:rsidR="00650E08">
        <w:t xml:space="preserve">energy used in households, there are as high differences, as in the case of GDP per capita, see </w:t>
      </w:r>
      <w:r w:rsidR="00CD097D">
        <w:t>the next tables, also showing EUROSTAT data.</w:t>
      </w:r>
      <w:r w:rsidR="00A21C35">
        <w:t xml:space="preserve"> </w:t>
      </w:r>
      <w:r w:rsidR="00A04D93">
        <w:t xml:space="preserve">An average household in Bulgaria has a consumption that is less then one third compared to a </w:t>
      </w:r>
      <w:r w:rsidR="0057520C">
        <w:t>household in Finland, and it is just partly caused by income differences.</w:t>
      </w:r>
    </w:p>
    <w:p w14:paraId="23FC6D0F" w14:textId="77777777" w:rsidR="00455AC4" w:rsidRDefault="00455AC4" w:rsidP="00E947BA"/>
    <w:tbl>
      <w:tblPr>
        <w:tblW w:w="4760" w:type="dxa"/>
        <w:tblCellMar>
          <w:left w:w="70" w:type="dxa"/>
          <w:right w:w="70" w:type="dxa"/>
        </w:tblCellMar>
        <w:tblLook w:val="04A0" w:firstRow="1" w:lastRow="0" w:firstColumn="1" w:lastColumn="0" w:noHBand="0" w:noVBand="1"/>
      </w:tblPr>
      <w:tblGrid>
        <w:gridCol w:w="1600"/>
        <w:gridCol w:w="1618"/>
        <w:gridCol w:w="1600"/>
      </w:tblGrid>
      <w:tr w:rsidR="000663E5" w:rsidRPr="000663E5" w14:paraId="41599EB5" w14:textId="77777777" w:rsidTr="000663E5">
        <w:trPr>
          <w:trHeight w:val="285"/>
        </w:trPr>
        <w:tc>
          <w:tcPr>
            <w:tcW w:w="4760" w:type="dxa"/>
            <w:gridSpan w:val="3"/>
            <w:tcBorders>
              <w:top w:val="single" w:sz="4" w:space="0" w:color="auto"/>
              <w:left w:val="single" w:sz="4" w:space="0" w:color="auto"/>
              <w:bottom w:val="single" w:sz="4" w:space="0" w:color="auto"/>
              <w:right w:val="nil"/>
            </w:tcBorders>
            <w:shd w:val="clear" w:color="000000" w:fill="99CCFF"/>
            <w:noWrap/>
            <w:vAlign w:val="bottom"/>
            <w:hideMark/>
          </w:tcPr>
          <w:p w14:paraId="4E5C2DE6" w14:textId="77777777" w:rsidR="000663E5" w:rsidRPr="000663E5" w:rsidRDefault="000663E5" w:rsidP="000663E5">
            <w:pPr>
              <w:spacing w:line="240" w:lineRule="auto"/>
              <w:jc w:val="center"/>
              <w:rPr>
                <w:rFonts w:ascii="Arial" w:hAnsi="Arial" w:cs="Arial"/>
                <w:i/>
                <w:iCs/>
                <w:sz w:val="20"/>
                <w:szCs w:val="20"/>
                <w:lang w:val="hu-HU" w:eastAsia="hu-HU"/>
              </w:rPr>
            </w:pPr>
            <w:proofErr w:type="spellStart"/>
            <w:r w:rsidRPr="000663E5">
              <w:rPr>
                <w:rFonts w:ascii="Arial" w:hAnsi="Arial" w:cs="Arial"/>
                <w:i/>
                <w:iCs/>
                <w:sz w:val="20"/>
                <w:szCs w:val="20"/>
                <w:lang w:val="hu-HU" w:eastAsia="hu-HU"/>
              </w:rPr>
              <w:t>Final</w:t>
            </w:r>
            <w:proofErr w:type="spellEnd"/>
            <w:r w:rsidRPr="000663E5">
              <w:rPr>
                <w:rFonts w:ascii="Arial" w:hAnsi="Arial" w:cs="Arial"/>
                <w:i/>
                <w:iCs/>
                <w:sz w:val="20"/>
                <w:szCs w:val="20"/>
                <w:lang w:val="hu-HU" w:eastAsia="hu-HU"/>
              </w:rPr>
              <w:t xml:space="preserve"> </w:t>
            </w:r>
            <w:proofErr w:type="spellStart"/>
            <w:r w:rsidRPr="000663E5">
              <w:rPr>
                <w:rFonts w:ascii="Arial" w:hAnsi="Arial" w:cs="Arial"/>
                <w:i/>
                <w:iCs/>
                <w:sz w:val="20"/>
                <w:szCs w:val="20"/>
                <w:lang w:val="hu-HU" w:eastAsia="hu-HU"/>
              </w:rPr>
              <w:t>energy</w:t>
            </w:r>
            <w:proofErr w:type="spellEnd"/>
            <w:r w:rsidRPr="000663E5">
              <w:rPr>
                <w:rFonts w:ascii="Arial" w:hAnsi="Arial" w:cs="Arial"/>
                <w:i/>
                <w:iCs/>
                <w:sz w:val="20"/>
                <w:szCs w:val="20"/>
                <w:lang w:val="hu-HU" w:eastAsia="hu-HU"/>
              </w:rPr>
              <w:t xml:space="preserve"> </w:t>
            </w:r>
            <w:proofErr w:type="spellStart"/>
            <w:r w:rsidRPr="000663E5">
              <w:rPr>
                <w:rFonts w:ascii="Arial" w:hAnsi="Arial" w:cs="Arial"/>
                <w:i/>
                <w:iCs/>
                <w:sz w:val="20"/>
                <w:szCs w:val="20"/>
                <w:lang w:val="hu-HU" w:eastAsia="hu-HU"/>
              </w:rPr>
              <w:t>consumption</w:t>
            </w:r>
            <w:proofErr w:type="spellEnd"/>
            <w:r w:rsidRPr="000663E5">
              <w:rPr>
                <w:rFonts w:ascii="Arial" w:hAnsi="Arial" w:cs="Arial"/>
                <w:i/>
                <w:iCs/>
                <w:sz w:val="20"/>
                <w:szCs w:val="20"/>
                <w:lang w:val="hu-HU" w:eastAsia="hu-HU"/>
              </w:rPr>
              <w:t xml:space="preserve"> in </w:t>
            </w:r>
            <w:proofErr w:type="spellStart"/>
            <w:r w:rsidRPr="000663E5">
              <w:rPr>
                <w:rFonts w:ascii="Arial" w:hAnsi="Arial" w:cs="Arial"/>
                <w:i/>
                <w:iCs/>
                <w:sz w:val="20"/>
                <w:szCs w:val="20"/>
                <w:lang w:val="hu-HU" w:eastAsia="hu-HU"/>
              </w:rPr>
              <w:t>households</w:t>
            </w:r>
            <w:proofErr w:type="spellEnd"/>
            <w:r w:rsidRPr="000663E5">
              <w:rPr>
                <w:rFonts w:ascii="Arial" w:hAnsi="Arial" w:cs="Arial"/>
                <w:i/>
                <w:iCs/>
                <w:sz w:val="20"/>
                <w:szCs w:val="20"/>
                <w:lang w:val="hu-HU" w:eastAsia="hu-HU"/>
              </w:rPr>
              <w:t xml:space="preserve"> - </w:t>
            </w:r>
            <w:proofErr w:type="spellStart"/>
            <w:r w:rsidRPr="000663E5">
              <w:rPr>
                <w:rFonts w:ascii="Arial" w:hAnsi="Arial" w:cs="Arial"/>
                <w:i/>
                <w:iCs/>
                <w:sz w:val="20"/>
                <w:szCs w:val="20"/>
                <w:lang w:val="hu-HU" w:eastAsia="hu-HU"/>
              </w:rPr>
              <w:t>total</w:t>
            </w:r>
            <w:proofErr w:type="spellEnd"/>
          </w:p>
        </w:tc>
      </w:tr>
      <w:tr w:rsidR="000663E5" w:rsidRPr="000663E5" w14:paraId="7B33D097" w14:textId="77777777" w:rsidTr="000663E5">
        <w:trPr>
          <w:trHeight w:val="510"/>
        </w:trPr>
        <w:tc>
          <w:tcPr>
            <w:tcW w:w="1600" w:type="dxa"/>
            <w:tcBorders>
              <w:top w:val="nil"/>
              <w:left w:val="single" w:sz="4" w:space="0" w:color="auto"/>
              <w:bottom w:val="single" w:sz="4" w:space="0" w:color="auto"/>
              <w:right w:val="single" w:sz="4" w:space="0" w:color="auto"/>
            </w:tcBorders>
            <w:shd w:val="clear" w:color="000000" w:fill="99CCFF"/>
            <w:vAlign w:val="center"/>
            <w:hideMark/>
          </w:tcPr>
          <w:p w14:paraId="262A4A8A" w14:textId="77777777" w:rsidR="000663E5" w:rsidRPr="000663E5" w:rsidRDefault="000663E5" w:rsidP="000663E5">
            <w:pPr>
              <w:spacing w:line="240" w:lineRule="auto"/>
              <w:jc w:val="center"/>
              <w:rPr>
                <w:rFonts w:ascii="Arial" w:hAnsi="Arial" w:cs="Arial"/>
                <w:b/>
                <w:bCs/>
                <w:sz w:val="20"/>
                <w:szCs w:val="20"/>
                <w:lang w:val="hu-HU" w:eastAsia="hu-HU"/>
              </w:rPr>
            </w:pPr>
            <w:proofErr w:type="spellStart"/>
            <w:r w:rsidRPr="000663E5">
              <w:rPr>
                <w:rFonts w:ascii="Arial" w:hAnsi="Arial" w:cs="Arial"/>
                <w:b/>
                <w:bCs/>
                <w:sz w:val="20"/>
                <w:szCs w:val="20"/>
                <w:lang w:val="hu-HU" w:eastAsia="hu-HU"/>
              </w:rPr>
              <w:t>member</w:t>
            </w:r>
            <w:proofErr w:type="spellEnd"/>
            <w:r w:rsidRPr="000663E5">
              <w:rPr>
                <w:rFonts w:ascii="Arial" w:hAnsi="Arial" w:cs="Arial"/>
                <w:b/>
                <w:bCs/>
                <w:sz w:val="20"/>
                <w:szCs w:val="20"/>
                <w:lang w:val="hu-HU" w:eastAsia="hu-HU"/>
              </w:rPr>
              <w:t xml:space="preserve"> </w:t>
            </w:r>
            <w:proofErr w:type="spellStart"/>
            <w:r w:rsidRPr="000663E5">
              <w:rPr>
                <w:rFonts w:ascii="Arial" w:hAnsi="Arial" w:cs="Arial"/>
                <w:b/>
                <w:bCs/>
                <w:sz w:val="20"/>
                <w:szCs w:val="20"/>
                <w:lang w:val="hu-HU" w:eastAsia="hu-HU"/>
              </w:rPr>
              <w:t>state</w:t>
            </w:r>
            <w:proofErr w:type="spellEnd"/>
          </w:p>
        </w:tc>
        <w:tc>
          <w:tcPr>
            <w:tcW w:w="1560" w:type="dxa"/>
            <w:tcBorders>
              <w:top w:val="nil"/>
              <w:left w:val="nil"/>
              <w:bottom w:val="single" w:sz="4" w:space="0" w:color="auto"/>
              <w:right w:val="single" w:sz="4" w:space="0" w:color="auto"/>
            </w:tcBorders>
            <w:shd w:val="clear" w:color="000000" w:fill="99CCFF"/>
            <w:vAlign w:val="center"/>
            <w:hideMark/>
          </w:tcPr>
          <w:p w14:paraId="3F7A603B" w14:textId="77777777" w:rsidR="000663E5" w:rsidRPr="000663E5" w:rsidRDefault="000663E5" w:rsidP="000663E5">
            <w:pPr>
              <w:spacing w:line="240" w:lineRule="auto"/>
              <w:jc w:val="center"/>
              <w:rPr>
                <w:rFonts w:ascii="Arial" w:hAnsi="Arial" w:cs="Arial"/>
                <w:b/>
                <w:bCs/>
                <w:sz w:val="20"/>
                <w:szCs w:val="20"/>
                <w:lang w:val="hu-HU" w:eastAsia="hu-HU"/>
              </w:rPr>
            </w:pPr>
            <w:proofErr w:type="spellStart"/>
            <w:r w:rsidRPr="000663E5">
              <w:rPr>
                <w:rFonts w:ascii="Arial" w:hAnsi="Arial" w:cs="Arial"/>
                <w:b/>
                <w:bCs/>
                <w:sz w:val="20"/>
                <w:szCs w:val="20"/>
                <w:lang w:val="hu-HU" w:eastAsia="hu-HU"/>
              </w:rPr>
              <w:t>total</w:t>
            </w:r>
            <w:proofErr w:type="spellEnd"/>
            <w:r w:rsidRPr="000663E5">
              <w:rPr>
                <w:rFonts w:ascii="Arial" w:hAnsi="Arial" w:cs="Arial"/>
                <w:b/>
                <w:bCs/>
                <w:sz w:val="20"/>
                <w:szCs w:val="20"/>
                <w:lang w:val="hu-HU" w:eastAsia="hu-HU"/>
              </w:rPr>
              <w:t xml:space="preserve"> </w:t>
            </w:r>
            <w:proofErr w:type="spellStart"/>
            <w:r w:rsidRPr="000663E5">
              <w:rPr>
                <w:rFonts w:ascii="Arial" w:hAnsi="Arial" w:cs="Arial"/>
                <w:b/>
                <w:bCs/>
                <w:sz w:val="20"/>
                <w:szCs w:val="20"/>
                <w:lang w:val="hu-HU" w:eastAsia="hu-HU"/>
              </w:rPr>
              <w:t>energy</w:t>
            </w:r>
            <w:proofErr w:type="spellEnd"/>
            <w:r w:rsidRPr="000663E5">
              <w:rPr>
                <w:rFonts w:ascii="Arial" w:hAnsi="Arial" w:cs="Arial"/>
                <w:b/>
                <w:bCs/>
                <w:sz w:val="20"/>
                <w:szCs w:val="20"/>
                <w:lang w:val="hu-HU" w:eastAsia="hu-HU"/>
              </w:rPr>
              <w:t xml:space="preserve"> </w:t>
            </w:r>
            <w:proofErr w:type="spellStart"/>
            <w:r w:rsidRPr="000663E5">
              <w:rPr>
                <w:rFonts w:ascii="Arial" w:hAnsi="Arial" w:cs="Arial"/>
                <w:b/>
                <w:bCs/>
                <w:sz w:val="20"/>
                <w:szCs w:val="20"/>
                <w:lang w:val="hu-HU" w:eastAsia="hu-HU"/>
              </w:rPr>
              <w:t>consumption</w:t>
            </w:r>
            <w:proofErr w:type="spellEnd"/>
            <w:r w:rsidRPr="000663E5">
              <w:rPr>
                <w:rFonts w:ascii="Arial" w:hAnsi="Arial" w:cs="Arial"/>
                <w:b/>
                <w:bCs/>
                <w:sz w:val="20"/>
                <w:szCs w:val="20"/>
                <w:lang w:val="hu-HU" w:eastAsia="hu-HU"/>
              </w:rPr>
              <w:t>/c.</w:t>
            </w:r>
          </w:p>
        </w:tc>
        <w:tc>
          <w:tcPr>
            <w:tcW w:w="1600" w:type="dxa"/>
            <w:tcBorders>
              <w:top w:val="nil"/>
              <w:left w:val="nil"/>
              <w:bottom w:val="single" w:sz="4" w:space="0" w:color="auto"/>
              <w:right w:val="single" w:sz="4" w:space="0" w:color="auto"/>
            </w:tcBorders>
            <w:shd w:val="clear" w:color="000000" w:fill="99CCFF"/>
            <w:vAlign w:val="center"/>
            <w:hideMark/>
          </w:tcPr>
          <w:p w14:paraId="54CA97F1" w14:textId="77777777" w:rsidR="000663E5" w:rsidRPr="000663E5" w:rsidRDefault="000663E5" w:rsidP="000663E5">
            <w:pPr>
              <w:spacing w:line="240" w:lineRule="auto"/>
              <w:jc w:val="center"/>
              <w:rPr>
                <w:rFonts w:ascii="Arial" w:hAnsi="Arial" w:cs="Arial"/>
                <w:b/>
                <w:bCs/>
                <w:sz w:val="20"/>
                <w:szCs w:val="20"/>
                <w:lang w:val="hu-HU" w:eastAsia="hu-HU"/>
              </w:rPr>
            </w:pPr>
            <w:r w:rsidRPr="000663E5">
              <w:rPr>
                <w:rFonts w:ascii="Arial" w:hAnsi="Arial" w:cs="Arial"/>
                <w:b/>
                <w:bCs/>
                <w:sz w:val="20"/>
                <w:szCs w:val="20"/>
                <w:lang w:val="hu-HU" w:eastAsia="hu-HU"/>
              </w:rPr>
              <w:t xml:space="preserve">% of </w:t>
            </w:r>
            <w:proofErr w:type="spellStart"/>
            <w:r w:rsidRPr="000663E5">
              <w:rPr>
                <w:rFonts w:ascii="Arial" w:hAnsi="Arial" w:cs="Arial"/>
                <w:b/>
                <w:bCs/>
                <w:sz w:val="20"/>
                <w:szCs w:val="20"/>
                <w:lang w:val="hu-HU" w:eastAsia="hu-HU"/>
              </w:rPr>
              <w:t>highest</w:t>
            </w:r>
            <w:proofErr w:type="spellEnd"/>
          </w:p>
        </w:tc>
      </w:tr>
      <w:tr w:rsidR="000663E5" w:rsidRPr="000663E5" w14:paraId="2B41F144"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0DD61B1B"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Finland</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69DAA429"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0.0427</w:t>
            </w:r>
          </w:p>
        </w:tc>
        <w:tc>
          <w:tcPr>
            <w:tcW w:w="1600" w:type="dxa"/>
            <w:tcBorders>
              <w:top w:val="nil"/>
              <w:left w:val="nil"/>
              <w:bottom w:val="single" w:sz="4" w:space="0" w:color="auto"/>
              <w:right w:val="single" w:sz="4" w:space="0" w:color="auto"/>
            </w:tcBorders>
            <w:shd w:val="clear" w:color="auto" w:fill="auto"/>
            <w:noWrap/>
            <w:vAlign w:val="bottom"/>
            <w:hideMark/>
          </w:tcPr>
          <w:p w14:paraId="03D8B26F"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100.00%</w:t>
            </w:r>
          </w:p>
        </w:tc>
      </w:tr>
      <w:tr w:rsidR="000663E5" w:rsidRPr="000663E5" w14:paraId="115E6A7B"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1BD1863C"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Austria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0177F0B"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0.0317</w:t>
            </w:r>
          </w:p>
        </w:tc>
        <w:tc>
          <w:tcPr>
            <w:tcW w:w="1600" w:type="dxa"/>
            <w:tcBorders>
              <w:top w:val="nil"/>
              <w:left w:val="nil"/>
              <w:bottom w:val="single" w:sz="4" w:space="0" w:color="auto"/>
              <w:right w:val="single" w:sz="4" w:space="0" w:color="auto"/>
            </w:tcBorders>
            <w:shd w:val="clear" w:color="auto" w:fill="auto"/>
            <w:noWrap/>
            <w:vAlign w:val="bottom"/>
            <w:hideMark/>
          </w:tcPr>
          <w:p w14:paraId="30719B45"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74.21%</w:t>
            </w:r>
          </w:p>
        </w:tc>
      </w:tr>
      <w:tr w:rsidR="000663E5" w:rsidRPr="000663E5" w14:paraId="1D435772"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6E279DF0"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Denmark</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0E2F54E"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0.0315</w:t>
            </w:r>
          </w:p>
        </w:tc>
        <w:tc>
          <w:tcPr>
            <w:tcW w:w="1600" w:type="dxa"/>
            <w:tcBorders>
              <w:top w:val="nil"/>
              <w:left w:val="nil"/>
              <w:bottom w:val="single" w:sz="4" w:space="0" w:color="auto"/>
              <w:right w:val="single" w:sz="4" w:space="0" w:color="auto"/>
            </w:tcBorders>
            <w:shd w:val="clear" w:color="auto" w:fill="auto"/>
            <w:noWrap/>
            <w:vAlign w:val="bottom"/>
            <w:hideMark/>
          </w:tcPr>
          <w:p w14:paraId="1DE96138"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73.81%</w:t>
            </w:r>
          </w:p>
        </w:tc>
      </w:tr>
      <w:tr w:rsidR="000663E5" w:rsidRPr="000663E5" w14:paraId="70EB253F"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3B7E74F0" w14:textId="77777777" w:rsidR="000663E5" w:rsidRPr="000663E5" w:rsidRDefault="000663E5" w:rsidP="000663E5">
            <w:pPr>
              <w:spacing w:line="240" w:lineRule="auto"/>
              <w:jc w:val="left"/>
              <w:rPr>
                <w:rFonts w:ascii="Arial" w:hAnsi="Arial" w:cs="Arial"/>
                <w:sz w:val="20"/>
                <w:szCs w:val="20"/>
                <w:lang w:val="hu-HU" w:eastAsia="hu-HU"/>
              </w:rPr>
            </w:pPr>
            <w:r w:rsidRPr="000663E5">
              <w:rPr>
                <w:rFonts w:ascii="Arial" w:hAnsi="Arial" w:cs="Arial"/>
                <w:sz w:val="20"/>
                <w:szCs w:val="20"/>
                <w:lang w:val="hu-HU" w:eastAsia="hu-HU"/>
              </w:rPr>
              <w:t>Luxembourg</w:t>
            </w:r>
          </w:p>
        </w:tc>
        <w:tc>
          <w:tcPr>
            <w:tcW w:w="1560" w:type="dxa"/>
            <w:tcBorders>
              <w:top w:val="nil"/>
              <w:left w:val="nil"/>
              <w:bottom w:val="single" w:sz="4" w:space="0" w:color="auto"/>
              <w:right w:val="single" w:sz="4" w:space="0" w:color="auto"/>
            </w:tcBorders>
            <w:shd w:val="clear" w:color="auto" w:fill="auto"/>
            <w:noWrap/>
            <w:vAlign w:val="bottom"/>
            <w:hideMark/>
          </w:tcPr>
          <w:p w14:paraId="7D58E613"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0.0315</w:t>
            </w:r>
          </w:p>
        </w:tc>
        <w:tc>
          <w:tcPr>
            <w:tcW w:w="1600" w:type="dxa"/>
            <w:tcBorders>
              <w:top w:val="nil"/>
              <w:left w:val="nil"/>
              <w:bottom w:val="single" w:sz="4" w:space="0" w:color="auto"/>
              <w:right w:val="single" w:sz="4" w:space="0" w:color="auto"/>
            </w:tcBorders>
            <w:shd w:val="clear" w:color="auto" w:fill="auto"/>
            <w:noWrap/>
            <w:vAlign w:val="bottom"/>
            <w:hideMark/>
          </w:tcPr>
          <w:p w14:paraId="567F68FA"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73.69%</w:t>
            </w:r>
          </w:p>
        </w:tc>
      </w:tr>
      <w:tr w:rsidR="000663E5" w:rsidRPr="000663E5" w14:paraId="5EE99971"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0800C758"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Sweden</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20EC2C59"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0.0302</w:t>
            </w:r>
          </w:p>
        </w:tc>
        <w:tc>
          <w:tcPr>
            <w:tcW w:w="1600" w:type="dxa"/>
            <w:tcBorders>
              <w:top w:val="nil"/>
              <w:left w:val="nil"/>
              <w:bottom w:val="single" w:sz="4" w:space="0" w:color="auto"/>
              <w:right w:val="single" w:sz="4" w:space="0" w:color="auto"/>
            </w:tcBorders>
            <w:shd w:val="clear" w:color="auto" w:fill="auto"/>
            <w:noWrap/>
            <w:vAlign w:val="bottom"/>
            <w:hideMark/>
          </w:tcPr>
          <w:p w14:paraId="1F6E20B6"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70.76%</w:t>
            </w:r>
          </w:p>
        </w:tc>
      </w:tr>
      <w:tr w:rsidR="000663E5" w:rsidRPr="000663E5" w14:paraId="4B952D0E"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42B06E26"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Estonia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57E8971"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0.0301</w:t>
            </w:r>
          </w:p>
        </w:tc>
        <w:tc>
          <w:tcPr>
            <w:tcW w:w="1600" w:type="dxa"/>
            <w:tcBorders>
              <w:top w:val="nil"/>
              <w:left w:val="nil"/>
              <w:bottom w:val="single" w:sz="4" w:space="0" w:color="auto"/>
              <w:right w:val="single" w:sz="4" w:space="0" w:color="auto"/>
            </w:tcBorders>
            <w:shd w:val="clear" w:color="auto" w:fill="auto"/>
            <w:noWrap/>
            <w:vAlign w:val="bottom"/>
            <w:hideMark/>
          </w:tcPr>
          <w:p w14:paraId="626B5B29"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70.41%</w:t>
            </w:r>
          </w:p>
        </w:tc>
      </w:tr>
      <w:tr w:rsidR="000663E5" w:rsidRPr="000663E5" w14:paraId="55AAD16C"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34EE40E9"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Germany</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33D07C8"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0.0290</w:t>
            </w:r>
          </w:p>
        </w:tc>
        <w:tc>
          <w:tcPr>
            <w:tcW w:w="1600" w:type="dxa"/>
            <w:tcBorders>
              <w:top w:val="nil"/>
              <w:left w:val="nil"/>
              <w:bottom w:val="single" w:sz="4" w:space="0" w:color="auto"/>
              <w:right w:val="single" w:sz="4" w:space="0" w:color="auto"/>
            </w:tcBorders>
            <w:shd w:val="clear" w:color="auto" w:fill="auto"/>
            <w:noWrap/>
            <w:vAlign w:val="bottom"/>
            <w:hideMark/>
          </w:tcPr>
          <w:p w14:paraId="47605507"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67.98%</w:t>
            </w:r>
          </w:p>
        </w:tc>
      </w:tr>
      <w:tr w:rsidR="000663E5" w:rsidRPr="000663E5" w14:paraId="0C6A3F28"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1530FAF2" w14:textId="77777777" w:rsidR="000663E5" w:rsidRPr="000663E5" w:rsidRDefault="000663E5" w:rsidP="000663E5">
            <w:pPr>
              <w:spacing w:line="240" w:lineRule="auto"/>
              <w:jc w:val="left"/>
              <w:rPr>
                <w:rFonts w:ascii="Arial" w:hAnsi="Arial" w:cs="Arial"/>
                <w:sz w:val="20"/>
                <w:szCs w:val="20"/>
                <w:lang w:val="hu-HU" w:eastAsia="hu-HU"/>
              </w:rPr>
            </w:pPr>
            <w:r w:rsidRPr="000663E5">
              <w:rPr>
                <w:rFonts w:ascii="Arial" w:hAnsi="Arial" w:cs="Arial"/>
                <w:sz w:val="20"/>
                <w:szCs w:val="20"/>
                <w:lang w:val="hu-HU" w:eastAsia="hu-HU"/>
              </w:rPr>
              <w:t>Belgium</w:t>
            </w:r>
          </w:p>
        </w:tc>
        <w:tc>
          <w:tcPr>
            <w:tcW w:w="1560" w:type="dxa"/>
            <w:tcBorders>
              <w:top w:val="nil"/>
              <w:left w:val="nil"/>
              <w:bottom w:val="single" w:sz="4" w:space="0" w:color="auto"/>
              <w:right w:val="single" w:sz="4" w:space="0" w:color="auto"/>
            </w:tcBorders>
            <w:shd w:val="clear" w:color="auto" w:fill="auto"/>
            <w:noWrap/>
            <w:vAlign w:val="bottom"/>
            <w:hideMark/>
          </w:tcPr>
          <w:p w14:paraId="1317E02C"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0.0289</w:t>
            </w:r>
          </w:p>
        </w:tc>
        <w:tc>
          <w:tcPr>
            <w:tcW w:w="1600" w:type="dxa"/>
            <w:tcBorders>
              <w:top w:val="nil"/>
              <w:left w:val="nil"/>
              <w:bottom w:val="single" w:sz="4" w:space="0" w:color="auto"/>
              <w:right w:val="single" w:sz="4" w:space="0" w:color="auto"/>
            </w:tcBorders>
            <w:shd w:val="clear" w:color="auto" w:fill="auto"/>
            <w:noWrap/>
            <w:vAlign w:val="bottom"/>
            <w:hideMark/>
          </w:tcPr>
          <w:p w14:paraId="15FFABB0"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67.63%</w:t>
            </w:r>
          </w:p>
        </w:tc>
      </w:tr>
      <w:tr w:rsidR="000663E5" w:rsidRPr="000663E5" w14:paraId="565F21F7"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63058831"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Czechia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6646B583"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0.0279</w:t>
            </w:r>
          </w:p>
        </w:tc>
        <w:tc>
          <w:tcPr>
            <w:tcW w:w="1600" w:type="dxa"/>
            <w:tcBorders>
              <w:top w:val="nil"/>
              <w:left w:val="nil"/>
              <w:bottom w:val="single" w:sz="4" w:space="0" w:color="auto"/>
              <w:right w:val="single" w:sz="4" w:space="0" w:color="auto"/>
            </w:tcBorders>
            <w:shd w:val="clear" w:color="auto" w:fill="auto"/>
            <w:noWrap/>
            <w:vAlign w:val="bottom"/>
            <w:hideMark/>
          </w:tcPr>
          <w:p w14:paraId="41AE4A24"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65.46%</w:t>
            </w:r>
          </w:p>
        </w:tc>
      </w:tr>
      <w:tr w:rsidR="000663E5" w:rsidRPr="000663E5" w14:paraId="61E882B8"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1AA6E73C"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Latvia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001AEDC"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0.0258</w:t>
            </w:r>
          </w:p>
        </w:tc>
        <w:tc>
          <w:tcPr>
            <w:tcW w:w="1600" w:type="dxa"/>
            <w:tcBorders>
              <w:top w:val="nil"/>
              <w:left w:val="nil"/>
              <w:bottom w:val="single" w:sz="4" w:space="0" w:color="auto"/>
              <w:right w:val="single" w:sz="4" w:space="0" w:color="auto"/>
            </w:tcBorders>
            <w:shd w:val="clear" w:color="auto" w:fill="auto"/>
            <w:noWrap/>
            <w:vAlign w:val="bottom"/>
            <w:hideMark/>
          </w:tcPr>
          <w:p w14:paraId="2B9DDB08"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60.52%</w:t>
            </w:r>
          </w:p>
        </w:tc>
      </w:tr>
      <w:tr w:rsidR="000663E5" w:rsidRPr="000663E5" w14:paraId="3F6C5189"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2FEBAB41" w14:textId="77777777" w:rsidR="000663E5" w:rsidRPr="000663E5" w:rsidRDefault="000663E5" w:rsidP="000663E5">
            <w:pPr>
              <w:spacing w:line="240" w:lineRule="auto"/>
              <w:jc w:val="left"/>
              <w:rPr>
                <w:rFonts w:ascii="Arial" w:hAnsi="Arial" w:cs="Arial"/>
                <w:sz w:val="20"/>
                <w:szCs w:val="20"/>
                <w:lang w:val="hu-HU" w:eastAsia="hu-HU"/>
              </w:rPr>
            </w:pPr>
            <w:r w:rsidRPr="000663E5">
              <w:rPr>
                <w:rFonts w:ascii="Arial" w:hAnsi="Arial" w:cs="Arial"/>
                <w:sz w:val="20"/>
                <w:szCs w:val="20"/>
                <w:lang w:val="hu-HU" w:eastAsia="hu-HU"/>
              </w:rPr>
              <w:t>France</w:t>
            </w:r>
          </w:p>
        </w:tc>
        <w:tc>
          <w:tcPr>
            <w:tcW w:w="1560" w:type="dxa"/>
            <w:tcBorders>
              <w:top w:val="nil"/>
              <w:left w:val="nil"/>
              <w:bottom w:val="single" w:sz="4" w:space="0" w:color="auto"/>
              <w:right w:val="single" w:sz="4" w:space="0" w:color="auto"/>
            </w:tcBorders>
            <w:shd w:val="clear" w:color="auto" w:fill="auto"/>
            <w:noWrap/>
            <w:vAlign w:val="bottom"/>
            <w:hideMark/>
          </w:tcPr>
          <w:p w14:paraId="7F15B15B"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0.0248</w:t>
            </w:r>
          </w:p>
        </w:tc>
        <w:tc>
          <w:tcPr>
            <w:tcW w:w="1600" w:type="dxa"/>
            <w:tcBorders>
              <w:top w:val="nil"/>
              <w:left w:val="nil"/>
              <w:bottom w:val="single" w:sz="4" w:space="0" w:color="auto"/>
              <w:right w:val="single" w:sz="4" w:space="0" w:color="auto"/>
            </w:tcBorders>
            <w:shd w:val="clear" w:color="auto" w:fill="auto"/>
            <w:noWrap/>
            <w:vAlign w:val="bottom"/>
            <w:hideMark/>
          </w:tcPr>
          <w:p w14:paraId="7E41DA9A"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58.18%</w:t>
            </w:r>
          </w:p>
        </w:tc>
      </w:tr>
      <w:tr w:rsidR="000663E5" w:rsidRPr="000663E5" w14:paraId="527F0E03"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3980DDE5"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Ireland</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1FCD6DF7"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0.0246</w:t>
            </w:r>
          </w:p>
        </w:tc>
        <w:tc>
          <w:tcPr>
            <w:tcW w:w="1600" w:type="dxa"/>
            <w:tcBorders>
              <w:top w:val="nil"/>
              <w:left w:val="nil"/>
              <w:bottom w:val="single" w:sz="4" w:space="0" w:color="auto"/>
              <w:right w:val="single" w:sz="4" w:space="0" w:color="auto"/>
            </w:tcBorders>
            <w:shd w:val="clear" w:color="auto" w:fill="auto"/>
            <w:noWrap/>
            <w:vAlign w:val="bottom"/>
            <w:hideMark/>
          </w:tcPr>
          <w:p w14:paraId="2700530E"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57.63%</w:t>
            </w:r>
          </w:p>
        </w:tc>
      </w:tr>
      <w:tr w:rsidR="000663E5" w:rsidRPr="000663E5" w14:paraId="6BC6D054"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6F495F54" w14:textId="77777777" w:rsidR="000663E5" w:rsidRPr="000663E5" w:rsidRDefault="000663E5" w:rsidP="000663E5">
            <w:pPr>
              <w:spacing w:line="240" w:lineRule="auto"/>
              <w:jc w:val="left"/>
              <w:rPr>
                <w:rFonts w:ascii="Arial" w:hAnsi="Arial" w:cs="Arial"/>
                <w:sz w:val="20"/>
                <w:szCs w:val="20"/>
                <w:lang w:val="hu-HU" w:eastAsia="hu-HU"/>
              </w:rPr>
            </w:pPr>
            <w:r w:rsidRPr="000663E5">
              <w:rPr>
                <w:rFonts w:ascii="Arial" w:hAnsi="Arial" w:cs="Arial"/>
                <w:sz w:val="20"/>
                <w:szCs w:val="20"/>
                <w:lang w:val="hu-HU" w:eastAsia="hu-HU"/>
              </w:rPr>
              <w:t>Hungary</w:t>
            </w:r>
          </w:p>
        </w:tc>
        <w:tc>
          <w:tcPr>
            <w:tcW w:w="1560" w:type="dxa"/>
            <w:tcBorders>
              <w:top w:val="nil"/>
              <w:left w:val="nil"/>
              <w:bottom w:val="single" w:sz="4" w:space="0" w:color="auto"/>
              <w:right w:val="single" w:sz="4" w:space="0" w:color="auto"/>
            </w:tcBorders>
            <w:shd w:val="clear" w:color="auto" w:fill="auto"/>
            <w:noWrap/>
            <w:vAlign w:val="bottom"/>
            <w:hideMark/>
          </w:tcPr>
          <w:p w14:paraId="6CDB1C57"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0.0243</w:t>
            </w:r>
          </w:p>
        </w:tc>
        <w:tc>
          <w:tcPr>
            <w:tcW w:w="1600" w:type="dxa"/>
            <w:tcBorders>
              <w:top w:val="nil"/>
              <w:left w:val="nil"/>
              <w:bottom w:val="single" w:sz="4" w:space="0" w:color="auto"/>
              <w:right w:val="single" w:sz="4" w:space="0" w:color="auto"/>
            </w:tcBorders>
            <w:shd w:val="clear" w:color="auto" w:fill="auto"/>
            <w:noWrap/>
            <w:vAlign w:val="bottom"/>
            <w:hideMark/>
          </w:tcPr>
          <w:p w14:paraId="2CDB1524"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56.97%</w:t>
            </w:r>
          </w:p>
        </w:tc>
      </w:tr>
      <w:tr w:rsidR="000663E5" w:rsidRPr="000663E5" w14:paraId="16868196"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453326F1"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Croatia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669D247"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0.0230</w:t>
            </w:r>
          </w:p>
        </w:tc>
        <w:tc>
          <w:tcPr>
            <w:tcW w:w="1600" w:type="dxa"/>
            <w:tcBorders>
              <w:top w:val="nil"/>
              <w:left w:val="nil"/>
              <w:bottom w:val="single" w:sz="4" w:space="0" w:color="auto"/>
              <w:right w:val="single" w:sz="4" w:space="0" w:color="auto"/>
            </w:tcBorders>
            <w:shd w:val="clear" w:color="auto" w:fill="auto"/>
            <w:noWrap/>
            <w:vAlign w:val="bottom"/>
            <w:hideMark/>
          </w:tcPr>
          <w:p w14:paraId="34B4C8C2"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53.85%</w:t>
            </w:r>
          </w:p>
        </w:tc>
      </w:tr>
      <w:tr w:rsidR="000663E5" w:rsidRPr="000663E5" w14:paraId="7B6DA9B9"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4126196E"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Netherlands</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6DAA64CE"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0.0225</w:t>
            </w:r>
          </w:p>
        </w:tc>
        <w:tc>
          <w:tcPr>
            <w:tcW w:w="1600" w:type="dxa"/>
            <w:tcBorders>
              <w:top w:val="nil"/>
              <w:left w:val="nil"/>
              <w:bottom w:val="single" w:sz="4" w:space="0" w:color="auto"/>
              <w:right w:val="single" w:sz="4" w:space="0" w:color="auto"/>
            </w:tcBorders>
            <w:shd w:val="clear" w:color="auto" w:fill="auto"/>
            <w:noWrap/>
            <w:vAlign w:val="bottom"/>
            <w:hideMark/>
          </w:tcPr>
          <w:p w14:paraId="3CEA167E"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52.82%</w:t>
            </w:r>
          </w:p>
        </w:tc>
      </w:tr>
      <w:tr w:rsidR="000663E5" w:rsidRPr="000663E5" w14:paraId="24117C94"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39152920"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Italy</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BD78178"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0.0218</w:t>
            </w:r>
          </w:p>
        </w:tc>
        <w:tc>
          <w:tcPr>
            <w:tcW w:w="1600" w:type="dxa"/>
            <w:tcBorders>
              <w:top w:val="nil"/>
              <w:left w:val="nil"/>
              <w:bottom w:val="single" w:sz="4" w:space="0" w:color="auto"/>
              <w:right w:val="single" w:sz="4" w:space="0" w:color="auto"/>
            </w:tcBorders>
            <w:shd w:val="clear" w:color="auto" w:fill="auto"/>
            <w:noWrap/>
            <w:vAlign w:val="bottom"/>
            <w:hideMark/>
          </w:tcPr>
          <w:p w14:paraId="158ED86D"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51.06%</w:t>
            </w:r>
          </w:p>
        </w:tc>
      </w:tr>
      <w:tr w:rsidR="000663E5" w:rsidRPr="000663E5" w14:paraId="03BADA13"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4DE50F55"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Lithuania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678A1A5A"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0.0217</w:t>
            </w:r>
          </w:p>
        </w:tc>
        <w:tc>
          <w:tcPr>
            <w:tcW w:w="1600" w:type="dxa"/>
            <w:tcBorders>
              <w:top w:val="nil"/>
              <w:left w:val="nil"/>
              <w:bottom w:val="single" w:sz="4" w:space="0" w:color="auto"/>
              <w:right w:val="single" w:sz="4" w:space="0" w:color="auto"/>
            </w:tcBorders>
            <w:shd w:val="clear" w:color="auto" w:fill="auto"/>
            <w:noWrap/>
            <w:vAlign w:val="bottom"/>
            <w:hideMark/>
          </w:tcPr>
          <w:p w14:paraId="3821CCCE"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50.81%</w:t>
            </w:r>
          </w:p>
        </w:tc>
      </w:tr>
      <w:tr w:rsidR="000663E5" w:rsidRPr="000663E5" w14:paraId="58CA1D81"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324CB936"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Slovenia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46A09D5"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0.0213</w:t>
            </w:r>
          </w:p>
        </w:tc>
        <w:tc>
          <w:tcPr>
            <w:tcW w:w="1600" w:type="dxa"/>
            <w:tcBorders>
              <w:top w:val="nil"/>
              <w:left w:val="nil"/>
              <w:bottom w:val="single" w:sz="4" w:space="0" w:color="auto"/>
              <w:right w:val="single" w:sz="4" w:space="0" w:color="auto"/>
            </w:tcBorders>
            <w:shd w:val="clear" w:color="auto" w:fill="auto"/>
            <w:noWrap/>
            <w:vAlign w:val="bottom"/>
            <w:hideMark/>
          </w:tcPr>
          <w:p w14:paraId="33081994"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49.84%</w:t>
            </w:r>
          </w:p>
        </w:tc>
      </w:tr>
      <w:tr w:rsidR="000663E5" w:rsidRPr="000663E5" w14:paraId="27421EAC"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5CDAB66D" w14:textId="77777777" w:rsidR="000663E5" w:rsidRPr="000663E5" w:rsidRDefault="000663E5" w:rsidP="000663E5">
            <w:pPr>
              <w:spacing w:line="240" w:lineRule="auto"/>
              <w:jc w:val="left"/>
              <w:rPr>
                <w:rFonts w:ascii="Arial" w:hAnsi="Arial" w:cs="Arial"/>
                <w:sz w:val="20"/>
                <w:szCs w:val="20"/>
                <w:lang w:val="hu-HU" w:eastAsia="hu-HU"/>
              </w:rPr>
            </w:pPr>
            <w:r w:rsidRPr="000663E5">
              <w:rPr>
                <w:rFonts w:ascii="Arial" w:hAnsi="Arial" w:cs="Arial"/>
                <w:sz w:val="20"/>
                <w:szCs w:val="20"/>
                <w:lang w:val="hu-HU" w:eastAsia="hu-HU"/>
              </w:rPr>
              <w:t>Poland</w:t>
            </w:r>
          </w:p>
        </w:tc>
        <w:tc>
          <w:tcPr>
            <w:tcW w:w="1560" w:type="dxa"/>
            <w:tcBorders>
              <w:top w:val="nil"/>
              <w:left w:val="nil"/>
              <w:bottom w:val="single" w:sz="4" w:space="0" w:color="auto"/>
              <w:right w:val="single" w:sz="4" w:space="0" w:color="auto"/>
            </w:tcBorders>
            <w:shd w:val="clear" w:color="auto" w:fill="auto"/>
            <w:noWrap/>
            <w:vAlign w:val="bottom"/>
            <w:hideMark/>
          </w:tcPr>
          <w:p w14:paraId="4D956843"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0.0203</w:t>
            </w:r>
          </w:p>
        </w:tc>
        <w:tc>
          <w:tcPr>
            <w:tcW w:w="1600" w:type="dxa"/>
            <w:tcBorders>
              <w:top w:val="nil"/>
              <w:left w:val="nil"/>
              <w:bottom w:val="single" w:sz="4" w:space="0" w:color="auto"/>
              <w:right w:val="single" w:sz="4" w:space="0" w:color="auto"/>
            </w:tcBorders>
            <w:shd w:val="clear" w:color="auto" w:fill="auto"/>
            <w:noWrap/>
            <w:vAlign w:val="bottom"/>
            <w:hideMark/>
          </w:tcPr>
          <w:p w14:paraId="77CDA50F"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47.60%</w:t>
            </w:r>
          </w:p>
        </w:tc>
      </w:tr>
      <w:tr w:rsidR="000663E5" w:rsidRPr="000663E5" w14:paraId="2BD39FAF"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2E9F6774"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Slovakia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450A51C"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0.0203</w:t>
            </w:r>
          </w:p>
        </w:tc>
        <w:tc>
          <w:tcPr>
            <w:tcW w:w="1600" w:type="dxa"/>
            <w:tcBorders>
              <w:top w:val="nil"/>
              <w:left w:val="nil"/>
              <w:bottom w:val="single" w:sz="4" w:space="0" w:color="auto"/>
              <w:right w:val="single" w:sz="4" w:space="0" w:color="auto"/>
            </w:tcBorders>
            <w:shd w:val="clear" w:color="auto" w:fill="auto"/>
            <w:noWrap/>
            <w:vAlign w:val="bottom"/>
            <w:hideMark/>
          </w:tcPr>
          <w:p w14:paraId="14DAE017"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47.56%</w:t>
            </w:r>
          </w:p>
        </w:tc>
      </w:tr>
      <w:tr w:rsidR="000663E5" w:rsidRPr="000663E5" w14:paraId="0EC542A4"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70A1C16E"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Cyprus</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8869665"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0.0173</w:t>
            </w:r>
          </w:p>
        </w:tc>
        <w:tc>
          <w:tcPr>
            <w:tcW w:w="1600" w:type="dxa"/>
            <w:tcBorders>
              <w:top w:val="nil"/>
              <w:left w:val="nil"/>
              <w:bottom w:val="single" w:sz="4" w:space="0" w:color="auto"/>
              <w:right w:val="single" w:sz="4" w:space="0" w:color="auto"/>
            </w:tcBorders>
            <w:shd w:val="clear" w:color="auto" w:fill="auto"/>
            <w:noWrap/>
            <w:vAlign w:val="bottom"/>
            <w:hideMark/>
          </w:tcPr>
          <w:p w14:paraId="2E4456DE"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40.61%</w:t>
            </w:r>
          </w:p>
        </w:tc>
      </w:tr>
      <w:tr w:rsidR="000663E5" w:rsidRPr="000663E5" w14:paraId="2F08DD85"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409A45B3"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Romania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970BFBD"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0.0167</w:t>
            </w:r>
          </w:p>
        </w:tc>
        <w:tc>
          <w:tcPr>
            <w:tcW w:w="1600" w:type="dxa"/>
            <w:tcBorders>
              <w:top w:val="nil"/>
              <w:left w:val="nil"/>
              <w:bottom w:val="single" w:sz="4" w:space="0" w:color="auto"/>
              <w:right w:val="single" w:sz="4" w:space="0" w:color="auto"/>
            </w:tcBorders>
            <w:shd w:val="clear" w:color="auto" w:fill="auto"/>
            <w:noWrap/>
            <w:vAlign w:val="bottom"/>
            <w:hideMark/>
          </w:tcPr>
          <w:p w14:paraId="75789C16"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39.10%</w:t>
            </w:r>
          </w:p>
        </w:tc>
      </w:tr>
      <w:tr w:rsidR="000663E5" w:rsidRPr="000663E5" w14:paraId="3D63F55D"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022715F4"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Greece</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081F4ED"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0.0160</w:t>
            </w:r>
          </w:p>
        </w:tc>
        <w:tc>
          <w:tcPr>
            <w:tcW w:w="1600" w:type="dxa"/>
            <w:tcBorders>
              <w:top w:val="nil"/>
              <w:left w:val="nil"/>
              <w:bottom w:val="single" w:sz="4" w:space="0" w:color="auto"/>
              <w:right w:val="single" w:sz="4" w:space="0" w:color="auto"/>
            </w:tcBorders>
            <w:shd w:val="clear" w:color="auto" w:fill="auto"/>
            <w:noWrap/>
            <w:vAlign w:val="bottom"/>
            <w:hideMark/>
          </w:tcPr>
          <w:p w14:paraId="049E064A"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37.44%</w:t>
            </w:r>
          </w:p>
        </w:tc>
      </w:tr>
      <w:tr w:rsidR="000663E5" w:rsidRPr="000663E5" w14:paraId="483D6F0C"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3EC8B844" w14:textId="77777777" w:rsidR="000663E5" w:rsidRPr="000663E5" w:rsidRDefault="000663E5" w:rsidP="000663E5">
            <w:pPr>
              <w:spacing w:line="240" w:lineRule="auto"/>
              <w:jc w:val="left"/>
              <w:rPr>
                <w:rFonts w:ascii="Arial" w:hAnsi="Arial" w:cs="Arial"/>
                <w:sz w:val="20"/>
                <w:szCs w:val="20"/>
                <w:lang w:val="hu-HU" w:eastAsia="hu-HU"/>
              </w:rPr>
            </w:pPr>
            <w:r w:rsidRPr="000663E5">
              <w:rPr>
                <w:rFonts w:ascii="Arial" w:hAnsi="Arial" w:cs="Arial"/>
                <w:sz w:val="20"/>
                <w:szCs w:val="20"/>
                <w:lang w:val="hu-HU" w:eastAsia="hu-HU"/>
              </w:rPr>
              <w:t>Spain</w:t>
            </w:r>
          </w:p>
        </w:tc>
        <w:tc>
          <w:tcPr>
            <w:tcW w:w="1560" w:type="dxa"/>
            <w:tcBorders>
              <w:top w:val="nil"/>
              <w:left w:val="nil"/>
              <w:bottom w:val="single" w:sz="4" w:space="0" w:color="auto"/>
              <w:right w:val="single" w:sz="4" w:space="0" w:color="auto"/>
            </w:tcBorders>
            <w:shd w:val="clear" w:color="auto" w:fill="auto"/>
            <w:noWrap/>
            <w:vAlign w:val="bottom"/>
            <w:hideMark/>
          </w:tcPr>
          <w:p w14:paraId="3551ED7C"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0.0132</w:t>
            </w:r>
          </w:p>
        </w:tc>
        <w:tc>
          <w:tcPr>
            <w:tcW w:w="1600" w:type="dxa"/>
            <w:tcBorders>
              <w:top w:val="nil"/>
              <w:left w:val="nil"/>
              <w:bottom w:val="single" w:sz="4" w:space="0" w:color="auto"/>
              <w:right w:val="single" w:sz="4" w:space="0" w:color="auto"/>
            </w:tcBorders>
            <w:shd w:val="clear" w:color="auto" w:fill="auto"/>
            <w:noWrap/>
            <w:vAlign w:val="bottom"/>
            <w:hideMark/>
          </w:tcPr>
          <w:p w14:paraId="23106D4A"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30.81%</w:t>
            </w:r>
          </w:p>
        </w:tc>
      </w:tr>
      <w:tr w:rsidR="000663E5" w:rsidRPr="000663E5" w14:paraId="10F28E3F"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77D9FDEA"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Bulgaria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0EF030E"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0.0129</w:t>
            </w:r>
          </w:p>
        </w:tc>
        <w:tc>
          <w:tcPr>
            <w:tcW w:w="1600" w:type="dxa"/>
            <w:tcBorders>
              <w:top w:val="nil"/>
              <w:left w:val="nil"/>
              <w:bottom w:val="single" w:sz="4" w:space="0" w:color="auto"/>
              <w:right w:val="single" w:sz="4" w:space="0" w:color="auto"/>
            </w:tcBorders>
            <w:shd w:val="clear" w:color="auto" w:fill="auto"/>
            <w:noWrap/>
            <w:vAlign w:val="bottom"/>
            <w:hideMark/>
          </w:tcPr>
          <w:p w14:paraId="6C54EC1A"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30.26%</w:t>
            </w:r>
          </w:p>
        </w:tc>
      </w:tr>
      <w:tr w:rsidR="000663E5" w:rsidRPr="000663E5" w14:paraId="74626BE0"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4447BC03"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Portugal</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F04909D"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0.0118</w:t>
            </w:r>
          </w:p>
        </w:tc>
        <w:tc>
          <w:tcPr>
            <w:tcW w:w="1600" w:type="dxa"/>
            <w:tcBorders>
              <w:top w:val="nil"/>
              <w:left w:val="nil"/>
              <w:bottom w:val="single" w:sz="4" w:space="0" w:color="auto"/>
              <w:right w:val="single" w:sz="4" w:space="0" w:color="auto"/>
            </w:tcBorders>
            <w:shd w:val="clear" w:color="auto" w:fill="auto"/>
            <w:noWrap/>
            <w:vAlign w:val="bottom"/>
            <w:hideMark/>
          </w:tcPr>
          <w:p w14:paraId="3D2CA27D"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27.58%</w:t>
            </w:r>
          </w:p>
        </w:tc>
      </w:tr>
      <w:tr w:rsidR="000663E5" w:rsidRPr="000663E5" w14:paraId="0B77501C" w14:textId="77777777" w:rsidTr="000663E5">
        <w:trPr>
          <w:trHeight w:val="285"/>
        </w:trPr>
        <w:tc>
          <w:tcPr>
            <w:tcW w:w="1600" w:type="dxa"/>
            <w:tcBorders>
              <w:top w:val="nil"/>
              <w:left w:val="single" w:sz="4" w:space="0" w:color="auto"/>
              <w:bottom w:val="single" w:sz="4" w:space="0" w:color="auto"/>
              <w:right w:val="single" w:sz="4" w:space="0" w:color="auto"/>
            </w:tcBorders>
            <w:shd w:val="clear" w:color="000000" w:fill="99CCFF"/>
            <w:noWrap/>
            <w:vAlign w:val="bottom"/>
            <w:hideMark/>
          </w:tcPr>
          <w:p w14:paraId="7ED161BD" w14:textId="77777777" w:rsidR="000663E5" w:rsidRPr="000663E5" w:rsidRDefault="000663E5" w:rsidP="000663E5">
            <w:pPr>
              <w:spacing w:line="240" w:lineRule="auto"/>
              <w:jc w:val="left"/>
              <w:rPr>
                <w:rFonts w:ascii="Arial" w:hAnsi="Arial" w:cs="Arial"/>
                <w:sz w:val="20"/>
                <w:szCs w:val="20"/>
                <w:lang w:val="hu-HU" w:eastAsia="hu-HU"/>
              </w:rPr>
            </w:pPr>
            <w:proofErr w:type="spellStart"/>
            <w:r w:rsidRPr="000663E5">
              <w:rPr>
                <w:rFonts w:ascii="Arial" w:hAnsi="Arial" w:cs="Arial"/>
                <w:sz w:val="20"/>
                <w:szCs w:val="20"/>
                <w:lang w:val="hu-HU" w:eastAsia="hu-HU"/>
              </w:rPr>
              <w:t>Malta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19F891F"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0.0085</w:t>
            </w:r>
          </w:p>
        </w:tc>
        <w:tc>
          <w:tcPr>
            <w:tcW w:w="1600" w:type="dxa"/>
            <w:tcBorders>
              <w:top w:val="nil"/>
              <w:left w:val="nil"/>
              <w:bottom w:val="single" w:sz="4" w:space="0" w:color="auto"/>
              <w:right w:val="single" w:sz="4" w:space="0" w:color="auto"/>
            </w:tcBorders>
            <w:shd w:val="clear" w:color="auto" w:fill="auto"/>
            <w:noWrap/>
            <w:vAlign w:val="bottom"/>
            <w:hideMark/>
          </w:tcPr>
          <w:p w14:paraId="205C2EAC" w14:textId="77777777" w:rsidR="000663E5" w:rsidRPr="000663E5" w:rsidRDefault="000663E5" w:rsidP="000663E5">
            <w:pPr>
              <w:spacing w:line="240" w:lineRule="auto"/>
              <w:jc w:val="right"/>
              <w:rPr>
                <w:rFonts w:ascii="Arial" w:hAnsi="Arial" w:cs="Arial"/>
                <w:lang w:val="hu-HU" w:eastAsia="hu-HU"/>
              </w:rPr>
            </w:pPr>
            <w:r w:rsidRPr="000663E5">
              <w:rPr>
                <w:rFonts w:ascii="Arial" w:hAnsi="Arial" w:cs="Arial"/>
                <w:lang w:val="hu-HU" w:eastAsia="hu-HU"/>
              </w:rPr>
              <w:t>19.99%</w:t>
            </w:r>
          </w:p>
        </w:tc>
      </w:tr>
    </w:tbl>
    <w:p w14:paraId="44F3063A" w14:textId="3A42A62E" w:rsidR="000663E5" w:rsidRDefault="000663E5" w:rsidP="00E947BA"/>
    <w:p w14:paraId="29EDF4A6" w14:textId="2A6DA1B2" w:rsidR="000663E5" w:rsidRDefault="00066ECF" w:rsidP="00E947BA">
      <w:r>
        <w:t xml:space="preserve">One may say that </w:t>
      </w:r>
      <w:r w:rsidR="008E7B8F">
        <w:t xml:space="preserve">natural gas consumption per capita is lower where prices are higher, but the case is </w:t>
      </w:r>
      <w:r w:rsidR="004E1F93">
        <w:t xml:space="preserve">that prices are higher where the network`s penetration is lower, so economy of scale is not </w:t>
      </w:r>
      <w:r w:rsidR="002666BE">
        <w:t>reached</w:t>
      </w:r>
      <w:r w:rsidR="004E1F93">
        <w:t xml:space="preserve">, </w:t>
      </w:r>
      <w:r w:rsidR="002666BE">
        <w:t>beside other probable causes.</w:t>
      </w:r>
      <w:r w:rsidR="006D3896">
        <w:t xml:space="preserve"> </w:t>
      </w:r>
      <w:r w:rsidR="00050514">
        <w:t xml:space="preserve">On the long term, analyzing time series, </w:t>
      </w:r>
      <w:proofErr w:type="gramStart"/>
      <w:r w:rsidR="00050514">
        <w:t>it is clear that the</w:t>
      </w:r>
      <w:proofErr w:type="gramEnd"/>
      <w:r w:rsidR="00050514">
        <w:t xml:space="preserve"> dispersion of </w:t>
      </w:r>
      <w:r w:rsidR="00050514">
        <w:lastRenderedPageBreak/>
        <w:t xml:space="preserve">prices </w:t>
      </w:r>
      <w:r w:rsidR="00E71A4A">
        <w:t>is between 25% and 30%, without major foreseen change</w:t>
      </w:r>
      <w:r w:rsidR="00856591">
        <w:t xml:space="preserve">. If </w:t>
      </w:r>
      <w:r w:rsidR="00E436FE">
        <w:t xml:space="preserve">the disparity of prices is going to be </w:t>
      </w:r>
      <w:r w:rsidR="00C93D10">
        <w:t xml:space="preserve">partly diminished, it supposes higher prices for citizens from Hungary, </w:t>
      </w:r>
      <w:r w:rsidR="00185F3F">
        <w:t xml:space="preserve">Poland, Bulgaria and Romania, and it is going to end up in escalating energy poverty in </w:t>
      </w:r>
      <w:r w:rsidR="002C0A5C">
        <w:t xml:space="preserve">less </w:t>
      </w:r>
      <w:proofErr w:type="spellStart"/>
      <w:proofErr w:type="gramStart"/>
      <w:r w:rsidR="002C0A5C">
        <w:t>well off</w:t>
      </w:r>
      <w:proofErr w:type="spellEnd"/>
      <w:proofErr w:type="gramEnd"/>
      <w:r w:rsidR="002C0A5C">
        <w:t xml:space="preserve"> regions.</w:t>
      </w:r>
    </w:p>
    <w:p w14:paraId="7600D45B" w14:textId="77777777" w:rsidR="00050514" w:rsidRDefault="00050514" w:rsidP="00E947BA"/>
    <w:tbl>
      <w:tblPr>
        <w:tblW w:w="4600" w:type="dxa"/>
        <w:tblCellMar>
          <w:left w:w="70" w:type="dxa"/>
          <w:right w:w="70" w:type="dxa"/>
        </w:tblCellMar>
        <w:tblLook w:val="04A0" w:firstRow="1" w:lastRow="0" w:firstColumn="1" w:lastColumn="0" w:noHBand="0" w:noVBand="1"/>
      </w:tblPr>
      <w:tblGrid>
        <w:gridCol w:w="1759"/>
        <w:gridCol w:w="1229"/>
        <w:gridCol w:w="1612"/>
      </w:tblGrid>
      <w:tr w:rsidR="00E947BA" w:rsidRPr="00A54B47" w14:paraId="4901D5EB" w14:textId="77777777" w:rsidTr="00C066F9">
        <w:trPr>
          <w:trHeight w:val="285"/>
        </w:trPr>
        <w:tc>
          <w:tcPr>
            <w:tcW w:w="4600" w:type="dxa"/>
            <w:gridSpan w:val="3"/>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2EB53FC" w14:textId="77777777" w:rsidR="00E947BA" w:rsidRPr="00A54B47" w:rsidRDefault="00E947BA" w:rsidP="00C066F9">
            <w:pPr>
              <w:spacing w:line="240" w:lineRule="auto"/>
              <w:jc w:val="center"/>
              <w:rPr>
                <w:rFonts w:ascii="Arial" w:hAnsi="Arial" w:cs="Arial"/>
                <w:i/>
                <w:iCs/>
                <w:lang w:eastAsia="hu-HU"/>
              </w:rPr>
            </w:pPr>
            <w:r w:rsidRPr="00A54B47">
              <w:rPr>
                <w:rFonts w:ascii="Arial" w:hAnsi="Arial" w:cs="Arial"/>
                <w:i/>
                <w:iCs/>
                <w:lang w:eastAsia="hu-HU"/>
              </w:rPr>
              <w:t>Gas prices for household consumers</w:t>
            </w:r>
          </w:p>
        </w:tc>
      </w:tr>
      <w:tr w:rsidR="00E947BA" w:rsidRPr="00A54B47" w14:paraId="08FAA513" w14:textId="77777777" w:rsidTr="00C066F9">
        <w:trPr>
          <w:trHeight w:val="300"/>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66787D73"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member state</w:t>
            </w:r>
          </w:p>
        </w:tc>
        <w:tc>
          <w:tcPr>
            <w:tcW w:w="1229" w:type="dxa"/>
            <w:tcBorders>
              <w:top w:val="nil"/>
              <w:left w:val="nil"/>
              <w:bottom w:val="single" w:sz="4" w:space="0" w:color="auto"/>
              <w:right w:val="single" w:sz="4" w:space="0" w:color="auto"/>
            </w:tcBorders>
            <w:shd w:val="clear" w:color="000000" w:fill="99CCFF"/>
            <w:noWrap/>
            <w:vAlign w:val="bottom"/>
            <w:hideMark/>
          </w:tcPr>
          <w:p w14:paraId="37717FE4"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EUR/kWh</w:t>
            </w:r>
          </w:p>
        </w:tc>
        <w:tc>
          <w:tcPr>
            <w:tcW w:w="1612" w:type="dxa"/>
            <w:tcBorders>
              <w:top w:val="nil"/>
              <w:left w:val="nil"/>
              <w:bottom w:val="single" w:sz="4" w:space="0" w:color="auto"/>
              <w:right w:val="single" w:sz="4" w:space="0" w:color="auto"/>
            </w:tcBorders>
            <w:shd w:val="clear" w:color="000000" w:fill="99CCFF"/>
            <w:noWrap/>
            <w:vAlign w:val="bottom"/>
            <w:hideMark/>
          </w:tcPr>
          <w:p w14:paraId="184422E0"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 xml:space="preserve">% </w:t>
            </w:r>
            <w:proofErr w:type="gramStart"/>
            <w:r w:rsidRPr="00A54B47">
              <w:rPr>
                <w:rFonts w:ascii="Arial" w:hAnsi="Arial" w:cs="Arial"/>
                <w:b/>
                <w:bCs/>
                <w:lang w:eastAsia="hu-HU"/>
              </w:rPr>
              <w:t>of</w:t>
            </w:r>
            <w:proofErr w:type="gramEnd"/>
            <w:r w:rsidRPr="00A54B47">
              <w:rPr>
                <w:rFonts w:ascii="Arial" w:hAnsi="Arial" w:cs="Arial"/>
                <w:b/>
                <w:bCs/>
                <w:lang w:eastAsia="hu-HU"/>
              </w:rPr>
              <w:t xml:space="preserve"> highest</w:t>
            </w:r>
          </w:p>
        </w:tc>
      </w:tr>
      <w:tr w:rsidR="00E947BA" w:rsidRPr="00A54B47" w14:paraId="293F8861"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129B7823"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Sweden</w:t>
            </w:r>
          </w:p>
        </w:tc>
        <w:tc>
          <w:tcPr>
            <w:tcW w:w="1229" w:type="dxa"/>
            <w:tcBorders>
              <w:top w:val="nil"/>
              <w:left w:val="nil"/>
              <w:bottom w:val="single" w:sz="4" w:space="0" w:color="auto"/>
              <w:right w:val="single" w:sz="4" w:space="0" w:color="auto"/>
            </w:tcBorders>
            <w:shd w:val="clear" w:color="auto" w:fill="auto"/>
            <w:noWrap/>
            <w:vAlign w:val="bottom"/>
            <w:hideMark/>
          </w:tcPr>
          <w:p w14:paraId="715C8CF6"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0.0700</w:t>
            </w:r>
          </w:p>
        </w:tc>
        <w:tc>
          <w:tcPr>
            <w:tcW w:w="1612" w:type="dxa"/>
            <w:tcBorders>
              <w:top w:val="nil"/>
              <w:left w:val="nil"/>
              <w:bottom w:val="single" w:sz="4" w:space="0" w:color="auto"/>
              <w:right w:val="single" w:sz="4" w:space="0" w:color="auto"/>
            </w:tcBorders>
            <w:shd w:val="clear" w:color="auto" w:fill="auto"/>
            <w:noWrap/>
            <w:vAlign w:val="bottom"/>
            <w:hideMark/>
          </w:tcPr>
          <w:p w14:paraId="0698A6B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100.00%</w:t>
            </w:r>
          </w:p>
        </w:tc>
      </w:tr>
      <w:tr w:rsidR="00E947BA" w:rsidRPr="00A54B47" w14:paraId="1639F41E"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055FADEF"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Portugal</w:t>
            </w:r>
          </w:p>
        </w:tc>
        <w:tc>
          <w:tcPr>
            <w:tcW w:w="1229" w:type="dxa"/>
            <w:tcBorders>
              <w:top w:val="nil"/>
              <w:left w:val="nil"/>
              <w:bottom w:val="single" w:sz="4" w:space="0" w:color="auto"/>
              <w:right w:val="single" w:sz="4" w:space="0" w:color="auto"/>
            </w:tcBorders>
            <w:shd w:val="clear" w:color="auto" w:fill="auto"/>
            <w:noWrap/>
            <w:vAlign w:val="bottom"/>
            <w:hideMark/>
          </w:tcPr>
          <w:p w14:paraId="42A0623F"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0.0544</w:t>
            </w:r>
          </w:p>
        </w:tc>
        <w:tc>
          <w:tcPr>
            <w:tcW w:w="1612" w:type="dxa"/>
            <w:tcBorders>
              <w:top w:val="nil"/>
              <w:left w:val="nil"/>
              <w:bottom w:val="single" w:sz="4" w:space="0" w:color="auto"/>
              <w:right w:val="single" w:sz="4" w:space="0" w:color="auto"/>
            </w:tcBorders>
            <w:shd w:val="clear" w:color="auto" w:fill="auto"/>
            <w:noWrap/>
            <w:vAlign w:val="bottom"/>
            <w:hideMark/>
          </w:tcPr>
          <w:p w14:paraId="1DE5DC1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77.71%</w:t>
            </w:r>
          </w:p>
        </w:tc>
      </w:tr>
      <w:tr w:rsidR="00E947BA" w:rsidRPr="00A54B47" w14:paraId="09A53EF7"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4856E37D"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Spain</w:t>
            </w:r>
          </w:p>
        </w:tc>
        <w:tc>
          <w:tcPr>
            <w:tcW w:w="1229" w:type="dxa"/>
            <w:tcBorders>
              <w:top w:val="nil"/>
              <w:left w:val="nil"/>
              <w:bottom w:val="single" w:sz="4" w:space="0" w:color="auto"/>
              <w:right w:val="single" w:sz="4" w:space="0" w:color="auto"/>
            </w:tcBorders>
            <w:shd w:val="clear" w:color="auto" w:fill="auto"/>
            <w:noWrap/>
            <w:vAlign w:val="bottom"/>
            <w:hideMark/>
          </w:tcPr>
          <w:p w14:paraId="4861FBE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0.0515</w:t>
            </w:r>
          </w:p>
        </w:tc>
        <w:tc>
          <w:tcPr>
            <w:tcW w:w="1612" w:type="dxa"/>
            <w:tcBorders>
              <w:top w:val="nil"/>
              <w:left w:val="nil"/>
              <w:bottom w:val="single" w:sz="4" w:space="0" w:color="auto"/>
              <w:right w:val="single" w:sz="4" w:space="0" w:color="auto"/>
            </w:tcBorders>
            <w:shd w:val="clear" w:color="auto" w:fill="auto"/>
            <w:noWrap/>
            <w:vAlign w:val="bottom"/>
            <w:hideMark/>
          </w:tcPr>
          <w:p w14:paraId="720A211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73.57%</w:t>
            </w:r>
          </w:p>
        </w:tc>
      </w:tr>
      <w:tr w:rsidR="00E947BA" w:rsidRPr="00A54B47" w14:paraId="783AE906"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236D2CB9"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Ireland</w:t>
            </w:r>
          </w:p>
        </w:tc>
        <w:tc>
          <w:tcPr>
            <w:tcW w:w="1229" w:type="dxa"/>
            <w:tcBorders>
              <w:top w:val="nil"/>
              <w:left w:val="nil"/>
              <w:bottom w:val="single" w:sz="4" w:space="0" w:color="auto"/>
              <w:right w:val="single" w:sz="4" w:space="0" w:color="auto"/>
            </w:tcBorders>
            <w:shd w:val="clear" w:color="auto" w:fill="auto"/>
            <w:noWrap/>
            <w:vAlign w:val="bottom"/>
            <w:hideMark/>
          </w:tcPr>
          <w:p w14:paraId="2E59886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0.0500</w:t>
            </w:r>
          </w:p>
        </w:tc>
        <w:tc>
          <w:tcPr>
            <w:tcW w:w="1612" w:type="dxa"/>
            <w:tcBorders>
              <w:top w:val="nil"/>
              <w:left w:val="nil"/>
              <w:bottom w:val="single" w:sz="4" w:space="0" w:color="auto"/>
              <w:right w:val="single" w:sz="4" w:space="0" w:color="auto"/>
            </w:tcBorders>
            <w:shd w:val="clear" w:color="auto" w:fill="auto"/>
            <w:noWrap/>
            <w:vAlign w:val="bottom"/>
            <w:hideMark/>
          </w:tcPr>
          <w:p w14:paraId="3BD1BC8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71.43%</w:t>
            </w:r>
          </w:p>
        </w:tc>
      </w:tr>
      <w:tr w:rsidR="00E947BA" w:rsidRPr="00A54B47" w14:paraId="7C175C8F"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070A84CB"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France</w:t>
            </w:r>
          </w:p>
        </w:tc>
        <w:tc>
          <w:tcPr>
            <w:tcW w:w="1229" w:type="dxa"/>
            <w:tcBorders>
              <w:top w:val="nil"/>
              <w:left w:val="nil"/>
              <w:bottom w:val="single" w:sz="4" w:space="0" w:color="auto"/>
              <w:right w:val="single" w:sz="4" w:space="0" w:color="auto"/>
            </w:tcBorders>
            <w:shd w:val="clear" w:color="auto" w:fill="auto"/>
            <w:noWrap/>
            <w:vAlign w:val="bottom"/>
            <w:hideMark/>
          </w:tcPr>
          <w:p w14:paraId="39950BB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0.0478</w:t>
            </w:r>
          </w:p>
        </w:tc>
        <w:tc>
          <w:tcPr>
            <w:tcW w:w="1612" w:type="dxa"/>
            <w:tcBorders>
              <w:top w:val="nil"/>
              <w:left w:val="nil"/>
              <w:bottom w:val="single" w:sz="4" w:space="0" w:color="auto"/>
              <w:right w:val="single" w:sz="4" w:space="0" w:color="auto"/>
            </w:tcBorders>
            <w:shd w:val="clear" w:color="auto" w:fill="auto"/>
            <w:noWrap/>
            <w:vAlign w:val="bottom"/>
            <w:hideMark/>
          </w:tcPr>
          <w:p w14:paraId="25EFD05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68.29%</w:t>
            </w:r>
          </w:p>
        </w:tc>
      </w:tr>
      <w:tr w:rsidR="00E947BA" w:rsidRPr="00A54B47" w14:paraId="3F82295E"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2746CF70"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Czechia</w:t>
            </w:r>
          </w:p>
        </w:tc>
        <w:tc>
          <w:tcPr>
            <w:tcW w:w="1229" w:type="dxa"/>
            <w:tcBorders>
              <w:top w:val="nil"/>
              <w:left w:val="nil"/>
              <w:bottom w:val="single" w:sz="4" w:space="0" w:color="auto"/>
              <w:right w:val="single" w:sz="4" w:space="0" w:color="auto"/>
            </w:tcBorders>
            <w:shd w:val="clear" w:color="auto" w:fill="auto"/>
            <w:noWrap/>
            <w:vAlign w:val="bottom"/>
            <w:hideMark/>
          </w:tcPr>
          <w:p w14:paraId="6290CE55"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0.0463</w:t>
            </w:r>
          </w:p>
        </w:tc>
        <w:tc>
          <w:tcPr>
            <w:tcW w:w="1612" w:type="dxa"/>
            <w:tcBorders>
              <w:top w:val="nil"/>
              <w:left w:val="nil"/>
              <w:bottom w:val="single" w:sz="4" w:space="0" w:color="auto"/>
              <w:right w:val="single" w:sz="4" w:space="0" w:color="auto"/>
            </w:tcBorders>
            <w:shd w:val="clear" w:color="auto" w:fill="auto"/>
            <w:noWrap/>
            <w:vAlign w:val="bottom"/>
            <w:hideMark/>
          </w:tcPr>
          <w:p w14:paraId="68487A2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66.14%</w:t>
            </w:r>
          </w:p>
        </w:tc>
      </w:tr>
      <w:tr w:rsidR="00E947BA" w:rsidRPr="00A54B47" w14:paraId="54D3638C"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7F79CBC5"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Austria</w:t>
            </w:r>
          </w:p>
        </w:tc>
        <w:tc>
          <w:tcPr>
            <w:tcW w:w="1229" w:type="dxa"/>
            <w:tcBorders>
              <w:top w:val="nil"/>
              <w:left w:val="nil"/>
              <w:bottom w:val="single" w:sz="4" w:space="0" w:color="auto"/>
              <w:right w:val="single" w:sz="4" w:space="0" w:color="auto"/>
            </w:tcBorders>
            <w:shd w:val="clear" w:color="auto" w:fill="auto"/>
            <w:noWrap/>
            <w:vAlign w:val="bottom"/>
            <w:hideMark/>
          </w:tcPr>
          <w:p w14:paraId="7E8B2F7C"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0.0462</w:t>
            </w:r>
          </w:p>
        </w:tc>
        <w:tc>
          <w:tcPr>
            <w:tcW w:w="1612" w:type="dxa"/>
            <w:tcBorders>
              <w:top w:val="nil"/>
              <w:left w:val="nil"/>
              <w:bottom w:val="single" w:sz="4" w:space="0" w:color="auto"/>
              <w:right w:val="single" w:sz="4" w:space="0" w:color="auto"/>
            </w:tcBorders>
            <w:shd w:val="clear" w:color="auto" w:fill="auto"/>
            <w:noWrap/>
            <w:vAlign w:val="bottom"/>
            <w:hideMark/>
          </w:tcPr>
          <w:p w14:paraId="3CA9B00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66.00%</w:t>
            </w:r>
          </w:p>
        </w:tc>
      </w:tr>
      <w:tr w:rsidR="00E947BA" w:rsidRPr="00A54B47" w14:paraId="29A7BDE6"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4C9ECB9F"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 xml:space="preserve">Germany </w:t>
            </w:r>
          </w:p>
        </w:tc>
        <w:tc>
          <w:tcPr>
            <w:tcW w:w="1229" w:type="dxa"/>
            <w:tcBorders>
              <w:top w:val="nil"/>
              <w:left w:val="nil"/>
              <w:bottom w:val="single" w:sz="4" w:space="0" w:color="auto"/>
              <w:right w:val="single" w:sz="4" w:space="0" w:color="auto"/>
            </w:tcBorders>
            <w:shd w:val="clear" w:color="auto" w:fill="auto"/>
            <w:noWrap/>
            <w:vAlign w:val="bottom"/>
            <w:hideMark/>
          </w:tcPr>
          <w:p w14:paraId="02F683D5"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0.0435</w:t>
            </w:r>
          </w:p>
        </w:tc>
        <w:tc>
          <w:tcPr>
            <w:tcW w:w="1612" w:type="dxa"/>
            <w:tcBorders>
              <w:top w:val="nil"/>
              <w:left w:val="nil"/>
              <w:bottom w:val="single" w:sz="4" w:space="0" w:color="auto"/>
              <w:right w:val="single" w:sz="4" w:space="0" w:color="auto"/>
            </w:tcBorders>
            <w:shd w:val="clear" w:color="auto" w:fill="auto"/>
            <w:noWrap/>
            <w:vAlign w:val="bottom"/>
            <w:hideMark/>
          </w:tcPr>
          <w:p w14:paraId="462C398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62.14%</w:t>
            </w:r>
          </w:p>
        </w:tc>
      </w:tr>
      <w:tr w:rsidR="00E947BA" w:rsidRPr="00A54B47" w14:paraId="51C7A16A"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232CE07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Italy</w:t>
            </w:r>
          </w:p>
        </w:tc>
        <w:tc>
          <w:tcPr>
            <w:tcW w:w="1229" w:type="dxa"/>
            <w:tcBorders>
              <w:top w:val="nil"/>
              <w:left w:val="nil"/>
              <w:bottom w:val="single" w:sz="4" w:space="0" w:color="auto"/>
              <w:right w:val="single" w:sz="4" w:space="0" w:color="auto"/>
            </w:tcBorders>
            <w:shd w:val="clear" w:color="auto" w:fill="auto"/>
            <w:noWrap/>
            <w:vAlign w:val="bottom"/>
            <w:hideMark/>
          </w:tcPr>
          <w:p w14:paraId="0BAC331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0.0414</w:t>
            </w:r>
          </w:p>
        </w:tc>
        <w:tc>
          <w:tcPr>
            <w:tcW w:w="1612" w:type="dxa"/>
            <w:tcBorders>
              <w:top w:val="nil"/>
              <w:left w:val="nil"/>
              <w:bottom w:val="single" w:sz="4" w:space="0" w:color="auto"/>
              <w:right w:val="single" w:sz="4" w:space="0" w:color="auto"/>
            </w:tcBorders>
            <w:shd w:val="clear" w:color="auto" w:fill="auto"/>
            <w:noWrap/>
            <w:vAlign w:val="bottom"/>
            <w:hideMark/>
          </w:tcPr>
          <w:p w14:paraId="6831990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59.14%</w:t>
            </w:r>
          </w:p>
        </w:tc>
      </w:tr>
      <w:tr w:rsidR="00E947BA" w:rsidRPr="00A54B47" w14:paraId="0A362B60"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7288487B"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Greece</w:t>
            </w:r>
          </w:p>
        </w:tc>
        <w:tc>
          <w:tcPr>
            <w:tcW w:w="1229" w:type="dxa"/>
            <w:tcBorders>
              <w:top w:val="nil"/>
              <w:left w:val="nil"/>
              <w:bottom w:val="single" w:sz="4" w:space="0" w:color="auto"/>
              <w:right w:val="single" w:sz="4" w:space="0" w:color="auto"/>
            </w:tcBorders>
            <w:shd w:val="clear" w:color="auto" w:fill="auto"/>
            <w:noWrap/>
            <w:vAlign w:val="bottom"/>
            <w:hideMark/>
          </w:tcPr>
          <w:p w14:paraId="715182E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0.0411</w:t>
            </w:r>
          </w:p>
        </w:tc>
        <w:tc>
          <w:tcPr>
            <w:tcW w:w="1612" w:type="dxa"/>
            <w:tcBorders>
              <w:top w:val="nil"/>
              <w:left w:val="nil"/>
              <w:bottom w:val="single" w:sz="4" w:space="0" w:color="auto"/>
              <w:right w:val="single" w:sz="4" w:space="0" w:color="auto"/>
            </w:tcBorders>
            <w:shd w:val="clear" w:color="auto" w:fill="auto"/>
            <w:noWrap/>
            <w:vAlign w:val="bottom"/>
            <w:hideMark/>
          </w:tcPr>
          <w:p w14:paraId="5F16D6A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58.71%</w:t>
            </w:r>
          </w:p>
        </w:tc>
      </w:tr>
      <w:tr w:rsidR="00E947BA" w:rsidRPr="00A54B47" w14:paraId="774EA28A"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5B2ABFC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Denmark</w:t>
            </w:r>
          </w:p>
        </w:tc>
        <w:tc>
          <w:tcPr>
            <w:tcW w:w="1229" w:type="dxa"/>
            <w:tcBorders>
              <w:top w:val="nil"/>
              <w:left w:val="nil"/>
              <w:bottom w:val="single" w:sz="4" w:space="0" w:color="auto"/>
              <w:right w:val="single" w:sz="4" w:space="0" w:color="auto"/>
            </w:tcBorders>
            <w:shd w:val="clear" w:color="auto" w:fill="auto"/>
            <w:noWrap/>
            <w:vAlign w:val="bottom"/>
            <w:hideMark/>
          </w:tcPr>
          <w:p w14:paraId="120B9D65"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0.0395</w:t>
            </w:r>
          </w:p>
        </w:tc>
        <w:tc>
          <w:tcPr>
            <w:tcW w:w="1612" w:type="dxa"/>
            <w:tcBorders>
              <w:top w:val="nil"/>
              <w:left w:val="nil"/>
              <w:bottom w:val="single" w:sz="4" w:space="0" w:color="auto"/>
              <w:right w:val="single" w:sz="4" w:space="0" w:color="auto"/>
            </w:tcBorders>
            <w:shd w:val="clear" w:color="auto" w:fill="auto"/>
            <w:noWrap/>
            <w:vAlign w:val="bottom"/>
            <w:hideMark/>
          </w:tcPr>
          <w:p w14:paraId="62A1E15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56.43%</w:t>
            </w:r>
          </w:p>
        </w:tc>
      </w:tr>
      <w:tr w:rsidR="00E947BA" w:rsidRPr="00A54B47" w14:paraId="37778BE2"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1EBE837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Slovenia</w:t>
            </w:r>
          </w:p>
        </w:tc>
        <w:tc>
          <w:tcPr>
            <w:tcW w:w="1229" w:type="dxa"/>
            <w:tcBorders>
              <w:top w:val="nil"/>
              <w:left w:val="nil"/>
              <w:bottom w:val="single" w:sz="4" w:space="0" w:color="auto"/>
              <w:right w:val="single" w:sz="4" w:space="0" w:color="auto"/>
            </w:tcBorders>
            <w:shd w:val="clear" w:color="auto" w:fill="auto"/>
            <w:noWrap/>
            <w:vAlign w:val="bottom"/>
            <w:hideMark/>
          </w:tcPr>
          <w:p w14:paraId="0DC6457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0.0382</w:t>
            </w:r>
          </w:p>
        </w:tc>
        <w:tc>
          <w:tcPr>
            <w:tcW w:w="1612" w:type="dxa"/>
            <w:tcBorders>
              <w:top w:val="nil"/>
              <w:left w:val="nil"/>
              <w:bottom w:val="single" w:sz="4" w:space="0" w:color="auto"/>
              <w:right w:val="single" w:sz="4" w:space="0" w:color="auto"/>
            </w:tcBorders>
            <w:shd w:val="clear" w:color="auto" w:fill="auto"/>
            <w:noWrap/>
            <w:vAlign w:val="bottom"/>
            <w:hideMark/>
          </w:tcPr>
          <w:p w14:paraId="0A63F34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54.57%</w:t>
            </w:r>
          </w:p>
        </w:tc>
      </w:tr>
      <w:tr w:rsidR="00E947BA" w:rsidRPr="00A54B47" w14:paraId="03D28D28"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003E2855"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Belgium</w:t>
            </w:r>
          </w:p>
        </w:tc>
        <w:tc>
          <w:tcPr>
            <w:tcW w:w="1229" w:type="dxa"/>
            <w:tcBorders>
              <w:top w:val="nil"/>
              <w:left w:val="nil"/>
              <w:bottom w:val="single" w:sz="4" w:space="0" w:color="auto"/>
              <w:right w:val="single" w:sz="4" w:space="0" w:color="auto"/>
            </w:tcBorders>
            <w:shd w:val="clear" w:color="auto" w:fill="auto"/>
            <w:noWrap/>
            <w:vAlign w:val="bottom"/>
            <w:hideMark/>
          </w:tcPr>
          <w:p w14:paraId="6B9E067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0.0363</w:t>
            </w:r>
          </w:p>
        </w:tc>
        <w:tc>
          <w:tcPr>
            <w:tcW w:w="1612" w:type="dxa"/>
            <w:tcBorders>
              <w:top w:val="nil"/>
              <w:left w:val="nil"/>
              <w:bottom w:val="single" w:sz="4" w:space="0" w:color="auto"/>
              <w:right w:val="single" w:sz="4" w:space="0" w:color="auto"/>
            </w:tcBorders>
            <w:shd w:val="clear" w:color="auto" w:fill="auto"/>
            <w:noWrap/>
            <w:vAlign w:val="bottom"/>
            <w:hideMark/>
          </w:tcPr>
          <w:p w14:paraId="2869F46C"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51.86%</w:t>
            </w:r>
          </w:p>
        </w:tc>
      </w:tr>
      <w:tr w:rsidR="00E947BA" w:rsidRPr="00A54B47" w14:paraId="6F2FDD04"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3F7DFAAB"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Luxembourg</w:t>
            </w:r>
          </w:p>
        </w:tc>
        <w:tc>
          <w:tcPr>
            <w:tcW w:w="1229" w:type="dxa"/>
            <w:tcBorders>
              <w:top w:val="nil"/>
              <w:left w:val="nil"/>
              <w:bottom w:val="single" w:sz="4" w:space="0" w:color="auto"/>
              <w:right w:val="single" w:sz="4" w:space="0" w:color="auto"/>
            </w:tcBorders>
            <w:shd w:val="clear" w:color="auto" w:fill="auto"/>
            <w:noWrap/>
            <w:vAlign w:val="bottom"/>
            <w:hideMark/>
          </w:tcPr>
          <w:p w14:paraId="5F06425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0.0355</w:t>
            </w:r>
          </w:p>
        </w:tc>
        <w:tc>
          <w:tcPr>
            <w:tcW w:w="1612" w:type="dxa"/>
            <w:tcBorders>
              <w:top w:val="nil"/>
              <w:left w:val="nil"/>
              <w:bottom w:val="single" w:sz="4" w:space="0" w:color="auto"/>
              <w:right w:val="single" w:sz="4" w:space="0" w:color="auto"/>
            </w:tcBorders>
            <w:shd w:val="clear" w:color="auto" w:fill="auto"/>
            <w:noWrap/>
            <w:vAlign w:val="bottom"/>
            <w:hideMark/>
          </w:tcPr>
          <w:p w14:paraId="0E2CFE9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50.71%</w:t>
            </w:r>
          </w:p>
        </w:tc>
      </w:tr>
      <w:tr w:rsidR="00E947BA" w:rsidRPr="00A54B47" w14:paraId="05963FA7"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1A3ECD7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Netherlands</w:t>
            </w:r>
          </w:p>
        </w:tc>
        <w:tc>
          <w:tcPr>
            <w:tcW w:w="1229" w:type="dxa"/>
            <w:tcBorders>
              <w:top w:val="nil"/>
              <w:left w:val="nil"/>
              <w:bottom w:val="single" w:sz="4" w:space="0" w:color="auto"/>
              <w:right w:val="single" w:sz="4" w:space="0" w:color="auto"/>
            </w:tcBorders>
            <w:shd w:val="clear" w:color="auto" w:fill="auto"/>
            <w:noWrap/>
            <w:vAlign w:val="bottom"/>
            <w:hideMark/>
          </w:tcPr>
          <w:p w14:paraId="765C9D4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0.0350</w:t>
            </w:r>
          </w:p>
        </w:tc>
        <w:tc>
          <w:tcPr>
            <w:tcW w:w="1612" w:type="dxa"/>
            <w:tcBorders>
              <w:top w:val="nil"/>
              <w:left w:val="nil"/>
              <w:bottom w:val="single" w:sz="4" w:space="0" w:color="auto"/>
              <w:right w:val="single" w:sz="4" w:space="0" w:color="auto"/>
            </w:tcBorders>
            <w:shd w:val="clear" w:color="auto" w:fill="auto"/>
            <w:noWrap/>
            <w:vAlign w:val="bottom"/>
            <w:hideMark/>
          </w:tcPr>
          <w:p w14:paraId="5A0B7BB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50.00%</w:t>
            </w:r>
          </w:p>
        </w:tc>
      </w:tr>
      <w:tr w:rsidR="00E947BA" w:rsidRPr="00A54B47" w14:paraId="37FB028F"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70149C2B"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Slovakia</w:t>
            </w:r>
          </w:p>
        </w:tc>
        <w:tc>
          <w:tcPr>
            <w:tcW w:w="1229" w:type="dxa"/>
            <w:tcBorders>
              <w:top w:val="nil"/>
              <w:left w:val="nil"/>
              <w:bottom w:val="single" w:sz="4" w:space="0" w:color="auto"/>
              <w:right w:val="single" w:sz="4" w:space="0" w:color="auto"/>
            </w:tcBorders>
            <w:shd w:val="clear" w:color="auto" w:fill="auto"/>
            <w:noWrap/>
            <w:vAlign w:val="bottom"/>
            <w:hideMark/>
          </w:tcPr>
          <w:p w14:paraId="61B807C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0.0342</w:t>
            </w:r>
          </w:p>
        </w:tc>
        <w:tc>
          <w:tcPr>
            <w:tcW w:w="1612" w:type="dxa"/>
            <w:tcBorders>
              <w:top w:val="nil"/>
              <w:left w:val="nil"/>
              <w:bottom w:val="single" w:sz="4" w:space="0" w:color="auto"/>
              <w:right w:val="single" w:sz="4" w:space="0" w:color="auto"/>
            </w:tcBorders>
            <w:shd w:val="clear" w:color="auto" w:fill="auto"/>
            <w:noWrap/>
            <w:vAlign w:val="bottom"/>
            <w:hideMark/>
          </w:tcPr>
          <w:p w14:paraId="6C0FDF6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48.86%</w:t>
            </w:r>
          </w:p>
        </w:tc>
      </w:tr>
      <w:tr w:rsidR="00E947BA" w:rsidRPr="00A54B47" w14:paraId="6039F758"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339DF700"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Estonia</w:t>
            </w:r>
          </w:p>
        </w:tc>
        <w:tc>
          <w:tcPr>
            <w:tcW w:w="1229" w:type="dxa"/>
            <w:tcBorders>
              <w:top w:val="nil"/>
              <w:left w:val="nil"/>
              <w:bottom w:val="single" w:sz="4" w:space="0" w:color="auto"/>
              <w:right w:val="single" w:sz="4" w:space="0" w:color="auto"/>
            </w:tcBorders>
            <w:shd w:val="clear" w:color="auto" w:fill="auto"/>
            <w:noWrap/>
            <w:vAlign w:val="bottom"/>
            <w:hideMark/>
          </w:tcPr>
          <w:p w14:paraId="4E1986A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0.0325</w:t>
            </w:r>
          </w:p>
        </w:tc>
        <w:tc>
          <w:tcPr>
            <w:tcW w:w="1612" w:type="dxa"/>
            <w:tcBorders>
              <w:top w:val="nil"/>
              <w:left w:val="nil"/>
              <w:bottom w:val="single" w:sz="4" w:space="0" w:color="auto"/>
              <w:right w:val="single" w:sz="4" w:space="0" w:color="auto"/>
            </w:tcBorders>
            <w:shd w:val="clear" w:color="auto" w:fill="auto"/>
            <w:noWrap/>
            <w:vAlign w:val="bottom"/>
            <w:hideMark/>
          </w:tcPr>
          <w:p w14:paraId="4450863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46.43%</w:t>
            </w:r>
          </w:p>
        </w:tc>
      </w:tr>
      <w:tr w:rsidR="00E947BA" w:rsidRPr="00A54B47" w14:paraId="5EA2641F"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2AD2E57A"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Bulgaria</w:t>
            </w:r>
          </w:p>
        </w:tc>
        <w:tc>
          <w:tcPr>
            <w:tcW w:w="1229" w:type="dxa"/>
            <w:tcBorders>
              <w:top w:val="nil"/>
              <w:left w:val="nil"/>
              <w:bottom w:val="single" w:sz="4" w:space="0" w:color="auto"/>
              <w:right w:val="single" w:sz="4" w:space="0" w:color="auto"/>
            </w:tcBorders>
            <w:shd w:val="clear" w:color="auto" w:fill="auto"/>
            <w:noWrap/>
            <w:vAlign w:val="bottom"/>
            <w:hideMark/>
          </w:tcPr>
          <w:p w14:paraId="77BA527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0.0306</w:t>
            </w:r>
          </w:p>
        </w:tc>
        <w:tc>
          <w:tcPr>
            <w:tcW w:w="1612" w:type="dxa"/>
            <w:tcBorders>
              <w:top w:val="nil"/>
              <w:left w:val="nil"/>
              <w:bottom w:val="single" w:sz="4" w:space="0" w:color="auto"/>
              <w:right w:val="single" w:sz="4" w:space="0" w:color="auto"/>
            </w:tcBorders>
            <w:shd w:val="clear" w:color="auto" w:fill="auto"/>
            <w:noWrap/>
            <w:vAlign w:val="bottom"/>
            <w:hideMark/>
          </w:tcPr>
          <w:p w14:paraId="41FB3EB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43.71%</w:t>
            </w:r>
          </w:p>
        </w:tc>
      </w:tr>
      <w:tr w:rsidR="00E947BA" w:rsidRPr="00A54B47" w14:paraId="53C98D3A"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16E7F173"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Poland</w:t>
            </w:r>
          </w:p>
        </w:tc>
        <w:tc>
          <w:tcPr>
            <w:tcW w:w="1229" w:type="dxa"/>
            <w:tcBorders>
              <w:top w:val="nil"/>
              <w:left w:val="nil"/>
              <w:bottom w:val="single" w:sz="4" w:space="0" w:color="auto"/>
              <w:right w:val="single" w:sz="4" w:space="0" w:color="auto"/>
            </w:tcBorders>
            <w:shd w:val="clear" w:color="auto" w:fill="auto"/>
            <w:noWrap/>
            <w:vAlign w:val="bottom"/>
            <w:hideMark/>
          </w:tcPr>
          <w:p w14:paraId="5B2689B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0.0301</w:t>
            </w:r>
          </w:p>
        </w:tc>
        <w:tc>
          <w:tcPr>
            <w:tcW w:w="1612" w:type="dxa"/>
            <w:tcBorders>
              <w:top w:val="nil"/>
              <w:left w:val="nil"/>
              <w:bottom w:val="single" w:sz="4" w:space="0" w:color="auto"/>
              <w:right w:val="single" w:sz="4" w:space="0" w:color="auto"/>
            </w:tcBorders>
            <w:shd w:val="clear" w:color="auto" w:fill="auto"/>
            <w:noWrap/>
            <w:vAlign w:val="bottom"/>
            <w:hideMark/>
          </w:tcPr>
          <w:p w14:paraId="707F040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43.00%</w:t>
            </w:r>
          </w:p>
        </w:tc>
      </w:tr>
      <w:tr w:rsidR="00E947BA" w:rsidRPr="00A54B47" w14:paraId="3F3266AC"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763BD571"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Croatia</w:t>
            </w:r>
          </w:p>
        </w:tc>
        <w:tc>
          <w:tcPr>
            <w:tcW w:w="1229" w:type="dxa"/>
            <w:tcBorders>
              <w:top w:val="nil"/>
              <w:left w:val="nil"/>
              <w:bottom w:val="single" w:sz="4" w:space="0" w:color="auto"/>
              <w:right w:val="single" w:sz="4" w:space="0" w:color="auto"/>
            </w:tcBorders>
            <w:shd w:val="clear" w:color="auto" w:fill="auto"/>
            <w:noWrap/>
            <w:vAlign w:val="bottom"/>
            <w:hideMark/>
          </w:tcPr>
          <w:p w14:paraId="7078350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0.0300</w:t>
            </w:r>
          </w:p>
        </w:tc>
        <w:tc>
          <w:tcPr>
            <w:tcW w:w="1612" w:type="dxa"/>
            <w:tcBorders>
              <w:top w:val="nil"/>
              <w:left w:val="nil"/>
              <w:bottom w:val="single" w:sz="4" w:space="0" w:color="auto"/>
              <w:right w:val="single" w:sz="4" w:space="0" w:color="auto"/>
            </w:tcBorders>
            <w:shd w:val="clear" w:color="auto" w:fill="auto"/>
            <w:noWrap/>
            <w:vAlign w:val="bottom"/>
            <w:hideMark/>
          </w:tcPr>
          <w:p w14:paraId="4E982E3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42.86%</w:t>
            </w:r>
          </w:p>
        </w:tc>
      </w:tr>
      <w:tr w:rsidR="00E947BA" w:rsidRPr="00A54B47" w14:paraId="66C10DE4"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0B99BB2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Romania</w:t>
            </w:r>
          </w:p>
        </w:tc>
        <w:tc>
          <w:tcPr>
            <w:tcW w:w="1229" w:type="dxa"/>
            <w:tcBorders>
              <w:top w:val="nil"/>
              <w:left w:val="nil"/>
              <w:bottom w:val="single" w:sz="4" w:space="0" w:color="auto"/>
              <w:right w:val="single" w:sz="4" w:space="0" w:color="auto"/>
            </w:tcBorders>
            <w:shd w:val="clear" w:color="auto" w:fill="auto"/>
            <w:noWrap/>
            <w:vAlign w:val="bottom"/>
            <w:hideMark/>
          </w:tcPr>
          <w:p w14:paraId="23AD01B6"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0.0266</w:t>
            </w:r>
          </w:p>
        </w:tc>
        <w:tc>
          <w:tcPr>
            <w:tcW w:w="1612" w:type="dxa"/>
            <w:tcBorders>
              <w:top w:val="nil"/>
              <w:left w:val="nil"/>
              <w:bottom w:val="single" w:sz="4" w:space="0" w:color="auto"/>
              <w:right w:val="single" w:sz="4" w:space="0" w:color="auto"/>
            </w:tcBorders>
            <w:shd w:val="clear" w:color="auto" w:fill="auto"/>
            <w:noWrap/>
            <w:vAlign w:val="bottom"/>
            <w:hideMark/>
          </w:tcPr>
          <w:p w14:paraId="3F276E5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38.00%</w:t>
            </w:r>
          </w:p>
        </w:tc>
      </w:tr>
      <w:tr w:rsidR="00E947BA" w:rsidRPr="00A54B47" w14:paraId="524F9910"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173EE190"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Hungary</w:t>
            </w:r>
          </w:p>
        </w:tc>
        <w:tc>
          <w:tcPr>
            <w:tcW w:w="1229" w:type="dxa"/>
            <w:tcBorders>
              <w:top w:val="nil"/>
              <w:left w:val="nil"/>
              <w:bottom w:val="single" w:sz="4" w:space="0" w:color="auto"/>
              <w:right w:val="single" w:sz="4" w:space="0" w:color="auto"/>
            </w:tcBorders>
            <w:shd w:val="clear" w:color="auto" w:fill="auto"/>
            <w:noWrap/>
            <w:vAlign w:val="bottom"/>
            <w:hideMark/>
          </w:tcPr>
          <w:p w14:paraId="625FFCD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0.0241</w:t>
            </w:r>
          </w:p>
        </w:tc>
        <w:tc>
          <w:tcPr>
            <w:tcW w:w="1612" w:type="dxa"/>
            <w:tcBorders>
              <w:top w:val="nil"/>
              <w:left w:val="nil"/>
              <w:bottom w:val="single" w:sz="4" w:space="0" w:color="auto"/>
              <w:right w:val="single" w:sz="4" w:space="0" w:color="auto"/>
            </w:tcBorders>
            <w:shd w:val="clear" w:color="auto" w:fill="auto"/>
            <w:noWrap/>
            <w:vAlign w:val="bottom"/>
            <w:hideMark/>
          </w:tcPr>
          <w:p w14:paraId="1773D8C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34.43%</w:t>
            </w:r>
          </w:p>
        </w:tc>
      </w:tr>
      <w:tr w:rsidR="00E947BA" w:rsidRPr="00A54B47" w14:paraId="49720F99"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52AFEE0D"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Latvia</w:t>
            </w:r>
          </w:p>
        </w:tc>
        <w:tc>
          <w:tcPr>
            <w:tcW w:w="1229" w:type="dxa"/>
            <w:tcBorders>
              <w:top w:val="nil"/>
              <w:left w:val="nil"/>
              <w:bottom w:val="single" w:sz="4" w:space="0" w:color="auto"/>
              <w:right w:val="single" w:sz="4" w:space="0" w:color="auto"/>
            </w:tcBorders>
            <w:shd w:val="clear" w:color="auto" w:fill="auto"/>
            <w:noWrap/>
            <w:vAlign w:val="bottom"/>
            <w:hideMark/>
          </w:tcPr>
          <w:p w14:paraId="424C508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0.0229</w:t>
            </w:r>
          </w:p>
        </w:tc>
        <w:tc>
          <w:tcPr>
            <w:tcW w:w="1612" w:type="dxa"/>
            <w:tcBorders>
              <w:top w:val="nil"/>
              <w:left w:val="nil"/>
              <w:bottom w:val="single" w:sz="4" w:space="0" w:color="auto"/>
              <w:right w:val="single" w:sz="4" w:space="0" w:color="auto"/>
            </w:tcBorders>
            <w:shd w:val="clear" w:color="auto" w:fill="auto"/>
            <w:noWrap/>
            <w:vAlign w:val="bottom"/>
            <w:hideMark/>
          </w:tcPr>
          <w:p w14:paraId="04B907EF"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32.71%</w:t>
            </w:r>
          </w:p>
        </w:tc>
      </w:tr>
      <w:tr w:rsidR="00E947BA" w:rsidRPr="00A54B47" w14:paraId="5D3E2509" w14:textId="77777777" w:rsidTr="00C066F9">
        <w:trPr>
          <w:trHeight w:val="285"/>
        </w:trPr>
        <w:tc>
          <w:tcPr>
            <w:tcW w:w="1759" w:type="dxa"/>
            <w:tcBorders>
              <w:top w:val="nil"/>
              <w:left w:val="single" w:sz="4" w:space="0" w:color="auto"/>
              <w:bottom w:val="single" w:sz="4" w:space="0" w:color="auto"/>
              <w:right w:val="single" w:sz="4" w:space="0" w:color="auto"/>
            </w:tcBorders>
            <w:shd w:val="clear" w:color="000000" w:fill="99CCFF"/>
            <w:noWrap/>
            <w:vAlign w:val="bottom"/>
            <w:hideMark/>
          </w:tcPr>
          <w:p w14:paraId="37CD4E21"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Lithuania</w:t>
            </w:r>
          </w:p>
        </w:tc>
        <w:tc>
          <w:tcPr>
            <w:tcW w:w="1229" w:type="dxa"/>
            <w:tcBorders>
              <w:top w:val="nil"/>
              <w:left w:val="nil"/>
              <w:bottom w:val="single" w:sz="4" w:space="0" w:color="auto"/>
              <w:right w:val="single" w:sz="4" w:space="0" w:color="auto"/>
            </w:tcBorders>
            <w:shd w:val="clear" w:color="auto" w:fill="auto"/>
            <w:noWrap/>
            <w:vAlign w:val="bottom"/>
            <w:hideMark/>
          </w:tcPr>
          <w:p w14:paraId="5A3B10E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0.0201</w:t>
            </w:r>
          </w:p>
        </w:tc>
        <w:tc>
          <w:tcPr>
            <w:tcW w:w="1612" w:type="dxa"/>
            <w:tcBorders>
              <w:top w:val="nil"/>
              <w:left w:val="nil"/>
              <w:bottom w:val="single" w:sz="4" w:space="0" w:color="auto"/>
              <w:right w:val="single" w:sz="4" w:space="0" w:color="auto"/>
            </w:tcBorders>
            <w:shd w:val="clear" w:color="auto" w:fill="auto"/>
            <w:noWrap/>
            <w:vAlign w:val="bottom"/>
            <w:hideMark/>
          </w:tcPr>
          <w:p w14:paraId="2703F0E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28.71%</w:t>
            </w:r>
          </w:p>
        </w:tc>
      </w:tr>
    </w:tbl>
    <w:p w14:paraId="341FB6EB" w14:textId="77777777" w:rsidR="00E947BA" w:rsidRDefault="00E947BA" w:rsidP="00E947BA"/>
    <w:tbl>
      <w:tblPr>
        <w:tblW w:w="4585" w:type="dxa"/>
        <w:tblCellMar>
          <w:left w:w="70" w:type="dxa"/>
          <w:right w:w="70" w:type="dxa"/>
        </w:tblCellMar>
        <w:tblLook w:val="04A0" w:firstRow="1" w:lastRow="0" w:firstColumn="1" w:lastColumn="0" w:noHBand="0" w:noVBand="1"/>
      </w:tblPr>
      <w:tblGrid>
        <w:gridCol w:w="1826"/>
        <w:gridCol w:w="1001"/>
        <w:gridCol w:w="1758"/>
      </w:tblGrid>
      <w:tr w:rsidR="00E947BA" w:rsidRPr="00A54B47" w14:paraId="3AC2E56A" w14:textId="77777777" w:rsidTr="00E947BA">
        <w:trPr>
          <w:trHeight w:val="285"/>
        </w:trPr>
        <w:tc>
          <w:tcPr>
            <w:tcW w:w="4585" w:type="dxa"/>
            <w:gridSpan w:val="3"/>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FB91762" w14:textId="77777777" w:rsidR="00E947BA" w:rsidRPr="00A54B47" w:rsidRDefault="00E947BA" w:rsidP="00C066F9">
            <w:pPr>
              <w:spacing w:line="240" w:lineRule="auto"/>
              <w:jc w:val="center"/>
              <w:rPr>
                <w:rFonts w:ascii="Arial" w:hAnsi="Arial" w:cs="Arial"/>
                <w:i/>
                <w:iCs/>
                <w:lang w:eastAsia="hu-HU"/>
              </w:rPr>
            </w:pPr>
            <w:r w:rsidRPr="00A54B47">
              <w:rPr>
                <w:rFonts w:ascii="Arial" w:hAnsi="Arial" w:cs="Arial"/>
                <w:i/>
                <w:iCs/>
                <w:lang w:eastAsia="hu-HU"/>
              </w:rPr>
              <w:t>Final energy consumption in households - gas</w:t>
            </w:r>
          </w:p>
        </w:tc>
      </w:tr>
      <w:tr w:rsidR="00E947BA" w:rsidRPr="00A54B47" w14:paraId="382535C0" w14:textId="77777777" w:rsidTr="00E947BA">
        <w:trPr>
          <w:trHeight w:val="300"/>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61E7F30A"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member state</w:t>
            </w:r>
          </w:p>
        </w:tc>
        <w:tc>
          <w:tcPr>
            <w:tcW w:w="1001" w:type="dxa"/>
            <w:tcBorders>
              <w:top w:val="nil"/>
              <w:left w:val="nil"/>
              <w:bottom w:val="single" w:sz="4" w:space="0" w:color="auto"/>
              <w:right w:val="single" w:sz="4" w:space="0" w:color="auto"/>
            </w:tcBorders>
            <w:shd w:val="clear" w:color="000000" w:fill="99CCFF"/>
            <w:noWrap/>
            <w:vAlign w:val="bottom"/>
            <w:hideMark/>
          </w:tcPr>
          <w:p w14:paraId="1A63B72D"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NG/cap</w:t>
            </w:r>
          </w:p>
        </w:tc>
        <w:tc>
          <w:tcPr>
            <w:tcW w:w="1758" w:type="dxa"/>
            <w:tcBorders>
              <w:top w:val="nil"/>
              <w:left w:val="nil"/>
              <w:bottom w:val="single" w:sz="4" w:space="0" w:color="auto"/>
              <w:right w:val="single" w:sz="4" w:space="0" w:color="auto"/>
            </w:tcBorders>
            <w:shd w:val="clear" w:color="000000" w:fill="99CCFF"/>
            <w:noWrap/>
            <w:vAlign w:val="bottom"/>
            <w:hideMark/>
          </w:tcPr>
          <w:p w14:paraId="7E770C71"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 xml:space="preserve">% </w:t>
            </w:r>
            <w:proofErr w:type="gramStart"/>
            <w:r w:rsidRPr="00A54B47">
              <w:rPr>
                <w:rFonts w:ascii="Arial" w:hAnsi="Arial" w:cs="Arial"/>
                <w:b/>
                <w:bCs/>
                <w:lang w:eastAsia="hu-HU"/>
              </w:rPr>
              <w:t>of</w:t>
            </w:r>
            <w:proofErr w:type="gramEnd"/>
            <w:r w:rsidRPr="00A54B47">
              <w:rPr>
                <w:rFonts w:ascii="Arial" w:hAnsi="Arial" w:cs="Arial"/>
                <w:b/>
                <w:bCs/>
                <w:lang w:eastAsia="hu-HU"/>
              </w:rPr>
              <w:t xml:space="preserve"> highest</w:t>
            </w:r>
          </w:p>
        </w:tc>
      </w:tr>
      <w:tr w:rsidR="00E947BA" w:rsidRPr="00A54B47" w14:paraId="2A5C72DD"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068BD36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Luxembourg</w:t>
            </w:r>
          </w:p>
        </w:tc>
        <w:tc>
          <w:tcPr>
            <w:tcW w:w="1001" w:type="dxa"/>
            <w:tcBorders>
              <w:top w:val="nil"/>
              <w:left w:val="nil"/>
              <w:bottom w:val="single" w:sz="4" w:space="0" w:color="auto"/>
              <w:right w:val="single" w:sz="4" w:space="0" w:color="auto"/>
            </w:tcBorders>
            <w:shd w:val="clear" w:color="auto" w:fill="auto"/>
            <w:noWrap/>
            <w:vAlign w:val="bottom"/>
            <w:hideMark/>
          </w:tcPr>
          <w:p w14:paraId="3D39E94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0.0168</w:t>
            </w:r>
          </w:p>
        </w:tc>
        <w:tc>
          <w:tcPr>
            <w:tcW w:w="1758" w:type="dxa"/>
            <w:tcBorders>
              <w:top w:val="nil"/>
              <w:left w:val="nil"/>
              <w:bottom w:val="single" w:sz="4" w:space="0" w:color="auto"/>
              <w:right w:val="single" w:sz="4" w:space="0" w:color="auto"/>
            </w:tcBorders>
            <w:shd w:val="clear" w:color="auto" w:fill="auto"/>
            <w:noWrap/>
            <w:vAlign w:val="bottom"/>
            <w:hideMark/>
          </w:tcPr>
          <w:p w14:paraId="71B791AC"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100.00%</w:t>
            </w:r>
          </w:p>
        </w:tc>
      </w:tr>
      <w:tr w:rsidR="00E947BA" w:rsidRPr="00A54B47" w14:paraId="6D715053"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37AF5A0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Netherlands</w:t>
            </w:r>
          </w:p>
        </w:tc>
        <w:tc>
          <w:tcPr>
            <w:tcW w:w="1001" w:type="dxa"/>
            <w:tcBorders>
              <w:top w:val="nil"/>
              <w:left w:val="nil"/>
              <w:bottom w:val="single" w:sz="4" w:space="0" w:color="auto"/>
              <w:right w:val="single" w:sz="4" w:space="0" w:color="auto"/>
            </w:tcBorders>
            <w:shd w:val="clear" w:color="auto" w:fill="auto"/>
            <w:noWrap/>
            <w:vAlign w:val="bottom"/>
            <w:hideMark/>
          </w:tcPr>
          <w:p w14:paraId="5D1DC54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0.0156</w:t>
            </w:r>
          </w:p>
        </w:tc>
        <w:tc>
          <w:tcPr>
            <w:tcW w:w="1758" w:type="dxa"/>
            <w:tcBorders>
              <w:top w:val="nil"/>
              <w:left w:val="nil"/>
              <w:bottom w:val="single" w:sz="4" w:space="0" w:color="auto"/>
              <w:right w:val="single" w:sz="4" w:space="0" w:color="auto"/>
            </w:tcBorders>
            <w:shd w:val="clear" w:color="auto" w:fill="auto"/>
            <w:noWrap/>
            <w:vAlign w:val="bottom"/>
            <w:hideMark/>
          </w:tcPr>
          <w:p w14:paraId="5A258BC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93.07%</w:t>
            </w:r>
          </w:p>
        </w:tc>
      </w:tr>
      <w:tr w:rsidR="00E947BA" w:rsidRPr="00A54B47" w14:paraId="7E44905F"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2F236EF9"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Belgium</w:t>
            </w:r>
          </w:p>
        </w:tc>
        <w:tc>
          <w:tcPr>
            <w:tcW w:w="1001" w:type="dxa"/>
            <w:tcBorders>
              <w:top w:val="nil"/>
              <w:left w:val="nil"/>
              <w:bottom w:val="single" w:sz="4" w:space="0" w:color="auto"/>
              <w:right w:val="single" w:sz="4" w:space="0" w:color="auto"/>
            </w:tcBorders>
            <w:shd w:val="clear" w:color="auto" w:fill="auto"/>
            <w:noWrap/>
            <w:vAlign w:val="bottom"/>
            <w:hideMark/>
          </w:tcPr>
          <w:p w14:paraId="7D6512C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0.0120</w:t>
            </w:r>
          </w:p>
        </w:tc>
        <w:tc>
          <w:tcPr>
            <w:tcW w:w="1758" w:type="dxa"/>
            <w:tcBorders>
              <w:top w:val="nil"/>
              <w:left w:val="nil"/>
              <w:bottom w:val="single" w:sz="4" w:space="0" w:color="auto"/>
              <w:right w:val="single" w:sz="4" w:space="0" w:color="auto"/>
            </w:tcBorders>
            <w:shd w:val="clear" w:color="auto" w:fill="auto"/>
            <w:noWrap/>
            <w:vAlign w:val="bottom"/>
            <w:hideMark/>
          </w:tcPr>
          <w:p w14:paraId="298F6C9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71.35%</w:t>
            </w:r>
          </w:p>
        </w:tc>
      </w:tr>
      <w:tr w:rsidR="00E947BA" w:rsidRPr="00A54B47" w14:paraId="4BA45662"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2763985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Hungary</w:t>
            </w:r>
          </w:p>
        </w:tc>
        <w:tc>
          <w:tcPr>
            <w:tcW w:w="1001" w:type="dxa"/>
            <w:tcBorders>
              <w:top w:val="nil"/>
              <w:left w:val="nil"/>
              <w:bottom w:val="single" w:sz="4" w:space="0" w:color="auto"/>
              <w:right w:val="single" w:sz="4" w:space="0" w:color="auto"/>
            </w:tcBorders>
            <w:shd w:val="clear" w:color="auto" w:fill="auto"/>
            <w:noWrap/>
            <w:vAlign w:val="bottom"/>
            <w:hideMark/>
          </w:tcPr>
          <w:p w14:paraId="32D7A642"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0.0120</w:t>
            </w:r>
          </w:p>
        </w:tc>
        <w:tc>
          <w:tcPr>
            <w:tcW w:w="1758" w:type="dxa"/>
            <w:tcBorders>
              <w:top w:val="nil"/>
              <w:left w:val="nil"/>
              <w:bottom w:val="single" w:sz="4" w:space="0" w:color="auto"/>
              <w:right w:val="single" w:sz="4" w:space="0" w:color="auto"/>
            </w:tcBorders>
            <w:shd w:val="clear" w:color="auto" w:fill="auto"/>
            <w:noWrap/>
            <w:vAlign w:val="bottom"/>
            <w:hideMark/>
          </w:tcPr>
          <w:p w14:paraId="1612005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71.23%</w:t>
            </w:r>
          </w:p>
        </w:tc>
      </w:tr>
      <w:tr w:rsidR="00E947BA" w:rsidRPr="00A54B47" w14:paraId="60B144C0"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7A92D7B2"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Italy</w:t>
            </w:r>
          </w:p>
        </w:tc>
        <w:tc>
          <w:tcPr>
            <w:tcW w:w="1001" w:type="dxa"/>
            <w:tcBorders>
              <w:top w:val="nil"/>
              <w:left w:val="nil"/>
              <w:bottom w:val="single" w:sz="4" w:space="0" w:color="auto"/>
              <w:right w:val="single" w:sz="4" w:space="0" w:color="auto"/>
            </w:tcBorders>
            <w:shd w:val="clear" w:color="auto" w:fill="auto"/>
            <w:noWrap/>
            <w:vAlign w:val="bottom"/>
            <w:hideMark/>
          </w:tcPr>
          <w:p w14:paraId="6E69CFA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0.0113</w:t>
            </w:r>
          </w:p>
        </w:tc>
        <w:tc>
          <w:tcPr>
            <w:tcW w:w="1758" w:type="dxa"/>
            <w:tcBorders>
              <w:top w:val="nil"/>
              <w:left w:val="nil"/>
              <w:bottom w:val="single" w:sz="4" w:space="0" w:color="auto"/>
              <w:right w:val="single" w:sz="4" w:space="0" w:color="auto"/>
            </w:tcBorders>
            <w:shd w:val="clear" w:color="auto" w:fill="auto"/>
            <w:noWrap/>
            <w:vAlign w:val="bottom"/>
            <w:hideMark/>
          </w:tcPr>
          <w:p w14:paraId="6C5053F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67.19%</w:t>
            </w:r>
          </w:p>
        </w:tc>
      </w:tr>
      <w:tr w:rsidR="00E947BA" w:rsidRPr="00A54B47" w14:paraId="77A36777"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0BA771DD"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Germany</w:t>
            </w:r>
          </w:p>
        </w:tc>
        <w:tc>
          <w:tcPr>
            <w:tcW w:w="1001" w:type="dxa"/>
            <w:tcBorders>
              <w:top w:val="nil"/>
              <w:left w:val="nil"/>
              <w:bottom w:val="single" w:sz="4" w:space="0" w:color="auto"/>
              <w:right w:val="single" w:sz="4" w:space="0" w:color="auto"/>
            </w:tcBorders>
            <w:shd w:val="clear" w:color="auto" w:fill="auto"/>
            <w:noWrap/>
            <w:vAlign w:val="bottom"/>
            <w:hideMark/>
          </w:tcPr>
          <w:p w14:paraId="31C7E54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0.0113</w:t>
            </w:r>
          </w:p>
        </w:tc>
        <w:tc>
          <w:tcPr>
            <w:tcW w:w="1758" w:type="dxa"/>
            <w:tcBorders>
              <w:top w:val="nil"/>
              <w:left w:val="nil"/>
              <w:bottom w:val="single" w:sz="4" w:space="0" w:color="auto"/>
              <w:right w:val="single" w:sz="4" w:space="0" w:color="auto"/>
            </w:tcBorders>
            <w:shd w:val="clear" w:color="auto" w:fill="auto"/>
            <w:noWrap/>
            <w:vAlign w:val="bottom"/>
            <w:hideMark/>
          </w:tcPr>
          <w:p w14:paraId="5CB3C542"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67.19%</w:t>
            </w:r>
          </w:p>
        </w:tc>
      </w:tr>
      <w:tr w:rsidR="00E947BA" w:rsidRPr="00A54B47" w14:paraId="4EF8F0C4"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52C52F0C"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Slovakia</w:t>
            </w:r>
          </w:p>
        </w:tc>
        <w:tc>
          <w:tcPr>
            <w:tcW w:w="1001" w:type="dxa"/>
            <w:tcBorders>
              <w:top w:val="nil"/>
              <w:left w:val="nil"/>
              <w:bottom w:val="single" w:sz="4" w:space="0" w:color="auto"/>
              <w:right w:val="single" w:sz="4" w:space="0" w:color="auto"/>
            </w:tcBorders>
            <w:shd w:val="clear" w:color="auto" w:fill="auto"/>
            <w:noWrap/>
            <w:vAlign w:val="bottom"/>
            <w:hideMark/>
          </w:tcPr>
          <w:p w14:paraId="71AAD212"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0.0086</w:t>
            </w:r>
          </w:p>
        </w:tc>
        <w:tc>
          <w:tcPr>
            <w:tcW w:w="1758" w:type="dxa"/>
            <w:tcBorders>
              <w:top w:val="nil"/>
              <w:left w:val="nil"/>
              <w:bottom w:val="single" w:sz="4" w:space="0" w:color="auto"/>
              <w:right w:val="single" w:sz="4" w:space="0" w:color="auto"/>
            </w:tcBorders>
            <w:shd w:val="clear" w:color="auto" w:fill="auto"/>
            <w:noWrap/>
            <w:vAlign w:val="bottom"/>
            <w:hideMark/>
          </w:tcPr>
          <w:p w14:paraId="414A004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51.21%</w:t>
            </w:r>
          </w:p>
        </w:tc>
      </w:tr>
      <w:tr w:rsidR="00E947BA" w:rsidRPr="00A54B47" w14:paraId="03A2703F"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3F3974A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France</w:t>
            </w:r>
          </w:p>
        </w:tc>
        <w:tc>
          <w:tcPr>
            <w:tcW w:w="1001" w:type="dxa"/>
            <w:tcBorders>
              <w:top w:val="nil"/>
              <w:left w:val="nil"/>
              <w:bottom w:val="single" w:sz="4" w:space="0" w:color="auto"/>
              <w:right w:val="single" w:sz="4" w:space="0" w:color="auto"/>
            </w:tcBorders>
            <w:shd w:val="clear" w:color="auto" w:fill="auto"/>
            <w:noWrap/>
            <w:vAlign w:val="bottom"/>
            <w:hideMark/>
          </w:tcPr>
          <w:p w14:paraId="1A3D28A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0.0071</w:t>
            </w:r>
          </w:p>
        </w:tc>
        <w:tc>
          <w:tcPr>
            <w:tcW w:w="1758" w:type="dxa"/>
            <w:tcBorders>
              <w:top w:val="nil"/>
              <w:left w:val="nil"/>
              <w:bottom w:val="single" w:sz="4" w:space="0" w:color="auto"/>
              <w:right w:val="single" w:sz="4" w:space="0" w:color="auto"/>
            </w:tcBorders>
            <w:shd w:val="clear" w:color="auto" w:fill="auto"/>
            <w:noWrap/>
            <w:vAlign w:val="bottom"/>
            <w:hideMark/>
          </w:tcPr>
          <w:p w14:paraId="374C429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42.16%</w:t>
            </w:r>
          </w:p>
        </w:tc>
      </w:tr>
      <w:tr w:rsidR="00E947BA" w:rsidRPr="00A54B47" w14:paraId="7C0DE363"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09B8E3E0"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Czechia</w:t>
            </w:r>
          </w:p>
        </w:tc>
        <w:tc>
          <w:tcPr>
            <w:tcW w:w="1001" w:type="dxa"/>
            <w:tcBorders>
              <w:top w:val="nil"/>
              <w:left w:val="nil"/>
              <w:bottom w:val="single" w:sz="4" w:space="0" w:color="auto"/>
              <w:right w:val="single" w:sz="4" w:space="0" w:color="auto"/>
            </w:tcBorders>
            <w:shd w:val="clear" w:color="auto" w:fill="auto"/>
            <w:noWrap/>
            <w:vAlign w:val="bottom"/>
            <w:hideMark/>
          </w:tcPr>
          <w:p w14:paraId="150ACAB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0.0071</w:t>
            </w:r>
          </w:p>
        </w:tc>
        <w:tc>
          <w:tcPr>
            <w:tcW w:w="1758" w:type="dxa"/>
            <w:tcBorders>
              <w:top w:val="nil"/>
              <w:left w:val="nil"/>
              <w:bottom w:val="single" w:sz="4" w:space="0" w:color="auto"/>
              <w:right w:val="single" w:sz="4" w:space="0" w:color="auto"/>
            </w:tcBorders>
            <w:shd w:val="clear" w:color="auto" w:fill="auto"/>
            <w:noWrap/>
            <w:vAlign w:val="bottom"/>
            <w:hideMark/>
          </w:tcPr>
          <w:p w14:paraId="5A0E9242"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42.02%</w:t>
            </w:r>
          </w:p>
        </w:tc>
      </w:tr>
      <w:tr w:rsidR="00E947BA" w:rsidRPr="00A54B47" w14:paraId="515BF2E6"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3BD93F02"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Austria</w:t>
            </w:r>
          </w:p>
        </w:tc>
        <w:tc>
          <w:tcPr>
            <w:tcW w:w="1001" w:type="dxa"/>
            <w:tcBorders>
              <w:top w:val="nil"/>
              <w:left w:val="nil"/>
              <w:bottom w:val="single" w:sz="4" w:space="0" w:color="auto"/>
              <w:right w:val="single" w:sz="4" w:space="0" w:color="auto"/>
            </w:tcBorders>
            <w:shd w:val="clear" w:color="auto" w:fill="auto"/>
            <w:noWrap/>
            <w:vAlign w:val="bottom"/>
            <w:hideMark/>
          </w:tcPr>
          <w:p w14:paraId="1852F4E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0.0067</w:t>
            </w:r>
          </w:p>
        </w:tc>
        <w:tc>
          <w:tcPr>
            <w:tcW w:w="1758" w:type="dxa"/>
            <w:tcBorders>
              <w:top w:val="nil"/>
              <w:left w:val="nil"/>
              <w:bottom w:val="single" w:sz="4" w:space="0" w:color="auto"/>
              <w:right w:val="single" w:sz="4" w:space="0" w:color="auto"/>
            </w:tcBorders>
            <w:shd w:val="clear" w:color="auto" w:fill="auto"/>
            <w:noWrap/>
            <w:vAlign w:val="bottom"/>
            <w:hideMark/>
          </w:tcPr>
          <w:p w14:paraId="4189750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39.68%</w:t>
            </w:r>
          </w:p>
        </w:tc>
      </w:tr>
      <w:tr w:rsidR="00E947BA" w:rsidRPr="00A54B47" w14:paraId="55AA9CC6"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4F823B7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Romania</w:t>
            </w:r>
          </w:p>
        </w:tc>
        <w:tc>
          <w:tcPr>
            <w:tcW w:w="1001" w:type="dxa"/>
            <w:tcBorders>
              <w:top w:val="nil"/>
              <w:left w:val="nil"/>
              <w:bottom w:val="single" w:sz="4" w:space="0" w:color="auto"/>
              <w:right w:val="single" w:sz="4" w:space="0" w:color="auto"/>
            </w:tcBorders>
            <w:shd w:val="clear" w:color="auto" w:fill="auto"/>
            <w:noWrap/>
            <w:vAlign w:val="bottom"/>
            <w:hideMark/>
          </w:tcPr>
          <w:p w14:paraId="5230433C"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0.0054</w:t>
            </w:r>
          </w:p>
        </w:tc>
        <w:tc>
          <w:tcPr>
            <w:tcW w:w="1758" w:type="dxa"/>
            <w:tcBorders>
              <w:top w:val="nil"/>
              <w:left w:val="nil"/>
              <w:bottom w:val="single" w:sz="4" w:space="0" w:color="auto"/>
              <w:right w:val="single" w:sz="4" w:space="0" w:color="auto"/>
            </w:tcBorders>
            <w:shd w:val="clear" w:color="auto" w:fill="auto"/>
            <w:noWrap/>
            <w:vAlign w:val="bottom"/>
            <w:hideMark/>
          </w:tcPr>
          <w:p w14:paraId="20902A1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32.16%</w:t>
            </w:r>
          </w:p>
        </w:tc>
      </w:tr>
      <w:tr w:rsidR="00E947BA" w:rsidRPr="00A54B47" w14:paraId="3A82E49D"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0D4D4687"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Ireland</w:t>
            </w:r>
          </w:p>
        </w:tc>
        <w:tc>
          <w:tcPr>
            <w:tcW w:w="1001" w:type="dxa"/>
            <w:tcBorders>
              <w:top w:val="nil"/>
              <w:left w:val="nil"/>
              <w:bottom w:val="single" w:sz="4" w:space="0" w:color="auto"/>
              <w:right w:val="single" w:sz="4" w:space="0" w:color="auto"/>
            </w:tcBorders>
            <w:shd w:val="clear" w:color="auto" w:fill="auto"/>
            <w:noWrap/>
            <w:vAlign w:val="bottom"/>
            <w:hideMark/>
          </w:tcPr>
          <w:p w14:paraId="6897606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0.0050</w:t>
            </w:r>
          </w:p>
        </w:tc>
        <w:tc>
          <w:tcPr>
            <w:tcW w:w="1758" w:type="dxa"/>
            <w:tcBorders>
              <w:top w:val="nil"/>
              <w:left w:val="nil"/>
              <w:bottom w:val="single" w:sz="4" w:space="0" w:color="auto"/>
              <w:right w:val="single" w:sz="4" w:space="0" w:color="auto"/>
            </w:tcBorders>
            <w:shd w:val="clear" w:color="auto" w:fill="auto"/>
            <w:noWrap/>
            <w:vAlign w:val="bottom"/>
            <w:hideMark/>
          </w:tcPr>
          <w:p w14:paraId="125AA54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29.99%</w:t>
            </w:r>
          </w:p>
        </w:tc>
      </w:tr>
      <w:tr w:rsidR="00E947BA" w:rsidRPr="00A54B47" w14:paraId="6B172943"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4A893CBE"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Croatia</w:t>
            </w:r>
          </w:p>
        </w:tc>
        <w:tc>
          <w:tcPr>
            <w:tcW w:w="1001" w:type="dxa"/>
            <w:tcBorders>
              <w:top w:val="nil"/>
              <w:left w:val="nil"/>
              <w:bottom w:val="single" w:sz="4" w:space="0" w:color="auto"/>
              <w:right w:val="single" w:sz="4" w:space="0" w:color="auto"/>
            </w:tcBorders>
            <w:shd w:val="clear" w:color="auto" w:fill="auto"/>
            <w:noWrap/>
            <w:vAlign w:val="bottom"/>
            <w:hideMark/>
          </w:tcPr>
          <w:p w14:paraId="0DEC197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0.0047</w:t>
            </w:r>
          </w:p>
        </w:tc>
        <w:tc>
          <w:tcPr>
            <w:tcW w:w="1758" w:type="dxa"/>
            <w:tcBorders>
              <w:top w:val="nil"/>
              <w:left w:val="nil"/>
              <w:bottom w:val="single" w:sz="4" w:space="0" w:color="auto"/>
              <w:right w:val="single" w:sz="4" w:space="0" w:color="auto"/>
            </w:tcBorders>
            <w:shd w:val="clear" w:color="auto" w:fill="auto"/>
            <w:noWrap/>
            <w:vAlign w:val="bottom"/>
            <w:hideMark/>
          </w:tcPr>
          <w:p w14:paraId="3599DF45"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28.07%</w:t>
            </w:r>
          </w:p>
        </w:tc>
      </w:tr>
      <w:tr w:rsidR="00E947BA" w:rsidRPr="00A54B47" w14:paraId="67F37093"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7296EF51"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lastRenderedPageBreak/>
              <w:t>Denmark</w:t>
            </w:r>
          </w:p>
        </w:tc>
        <w:tc>
          <w:tcPr>
            <w:tcW w:w="1001" w:type="dxa"/>
            <w:tcBorders>
              <w:top w:val="nil"/>
              <w:left w:val="nil"/>
              <w:bottom w:val="single" w:sz="4" w:space="0" w:color="auto"/>
              <w:right w:val="single" w:sz="4" w:space="0" w:color="auto"/>
            </w:tcBorders>
            <w:shd w:val="clear" w:color="auto" w:fill="auto"/>
            <w:noWrap/>
            <w:vAlign w:val="bottom"/>
            <w:hideMark/>
          </w:tcPr>
          <w:p w14:paraId="2367D98F"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0.0044</w:t>
            </w:r>
          </w:p>
        </w:tc>
        <w:tc>
          <w:tcPr>
            <w:tcW w:w="1758" w:type="dxa"/>
            <w:tcBorders>
              <w:top w:val="nil"/>
              <w:left w:val="nil"/>
              <w:bottom w:val="single" w:sz="4" w:space="0" w:color="auto"/>
              <w:right w:val="single" w:sz="4" w:space="0" w:color="auto"/>
            </w:tcBorders>
            <w:shd w:val="clear" w:color="auto" w:fill="auto"/>
            <w:noWrap/>
            <w:vAlign w:val="bottom"/>
            <w:hideMark/>
          </w:tcPr>
          <w:p w14:paraId="6212026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26.43%</w:t>
            </w:r>
          </w:p>
        </w:tc>
      </w:tr>
      <w:tr w:rsidR="00E947BA" w:rsidRPr="00A54B47" w14:paraId="43F50072"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0132AFF7"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Poland</w:t>
            </w:r>
          </w:p>
        </w:tc>
        <w:tc>
          <w:tcPr>
            <w:tcW w:w="1001" w:type="dxa"/>
            <w:tcBorders>
              <w:top w:val="nil"/>
              <w:left w:val="nil"/>
              <w:bottom w:val="single" w:sz="4" w:space="0" w:color="auto"/>
              <w:right w:val="single" w:sz="4" w:space="0" w:color="auto"/>
            </w:tcBorders>
            <w:shd w:val="clear" w:color="auto" w:fill="auto"/>
            <w:noWrap/>
            <w:vAlign w:val="bottom"/>
            <w:hideMark/>
          </w:tcPr>
          <w:p w14:paraId="1095542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0.0040</w:t>
            </w:r>
          </w:p>
        </w:tc>
        <w:tc>
          <w:tcPr>
            <w:tcW w:w="1758" w:type="dxa"/>
            <w:tcBorders>
              <w:top w:val="nil"/>
              <w:left w:val="nil"/>
              <w:bottom w:val="single" w:sz="4" w:space="0" w:color="auto"/>
              <w:right w:val="single" w:sz="4" w:space="0" w:color="auto"/>
            </w:tcBorders>
            <w:shd w:val="clear" w:color="auto" w:fill="auto"/>
            <w:noWrap/>
            <w:vAlign w:val="bottom"/>
            <w:hideMark/>
          </w:tcPr>
          <w:p w14:paraId="4BCAF3B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23.88%</w:t>
            </w:r>
          </w:p>
        </w:tc>
      </w:tr>
      <w:tr w:rsidR="00E947BA" w:rsidRPr="00A54B47" w14:paraId="09CE2702"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291EFDB7"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Spain</w:t>
            </w:r>
          </w:p>
        </w:tc>
        <w:tc>
          <w:tcPr>
            <w:tcW w:w="1001" w:type="dxa"/>
            <w:tcBorders>
              <w:top w:val="nil"/>
              <w:left w:val="nil"/>
              <w:bottom w:val="single" w:sz="4" w:space="0" w:color="auto"/>
              <w:right w:val="single" w:sz="4" w:space="0" w:color="auto"/>
            </w:tcBorders>
            <w:shd w:val="clear" w:color="auto" w:fill="auto"/>
            <w:noWrap/>
            <w:vAlign w:val="bottom"/>
            <w:hideMark/>
          </w:tcPr>
          <w:p w14:paraId="24F8295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0.0027</w:t>
            </w:r>
          </w:p>
        </w:tc>
        <w:tc>
          <w:tcPr>
            <w:tcW w:w="1758" w:type="dxa"/>
            <w:tcBorders>
              <w:top w:val="nil"/>
              <w:left w:val="nil"/>
              <w:bottom w:val="single" w:sz="4" w:space="0" w:color="auto"/>
              <w:right w:val="single" w:sz="4" w:space="0" w:color="auto"/>
            </w:tcBorders>
            <w:shd w:val="clear" w:color="auto" w:fill="auto"/>
            <w:noWrap/>
            <w:vAlign w:val="bottom"/>
            <w:hideMark/>
          </w:tcPr>
          <w:p w14:paraId="5F5638C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15.98%</w:t>
            </w:r>
          </w:p>
        </w:tc>
      </w:tr>
      <w:tr w:rsidR="00E947BA" w:rsidRPr="00A54B47" w14:paraId="65A03AE5"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44BB27FB"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Latvia</w:t>
            </w:r>
          </w:p>
        </w:tc>
        <w:tc>
          <w:tcPr>
            <w:tcW w:w="1001" w:type="dxa"/>
            <w:tcBorders>
              <w:top w:val="nil"/>
              <w:left w:val="nil"/>
              <w:bottom w:val="single" w:sz="4" w:space="0" w:color="auto"/>
              <w:right w:val="single" w:sz="4" w:space="0" w:color="auto"/>
            </w:tcBorders>
            <w:shd w:val="clear" w:color="auto" w:fill="auto"/>
            <w:noWrap/>
            <w:vAlign w:val="bottom"/>
            <w:hideMark/>
          </w:tcPr>
          <w:p w14:paraId="5AF9A11F"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0.0024</w:t>
            </w:r>
          </w:p>
        </w:tc>
        <w:tc>
          <w:tcPr>
            <w:tcW w:w="1758" w:type="dxa"/>
            <w:tcBorders>
              <w:top w:val="nil"/>
              <w:left w:val="nil"/>
              <w:bottom w:val="single" w:sz="4" w:space="0" w:color="auto"/>
              <w:right w:val="single" w:sz="4" w:space="0" w:color="auto"/>
            </w:tcBorders>
            <w:shd w:val="clear" w:color="auto" w:fill="auto"/>
            <w:noWrap/>
            <w:vAlign w:val="bottom"/>
            <w:hideMark/>
          </w:tcPr>
          <w:p w14:paraId="35A7136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14.37%</w:t>
            </w:r>
          </w:p>
        </w:tc>
      </w:tr>
      <w:tr w:rsidR="00E947BA" w:rsidRPr="00A54B47" w14:paraId="11FDB8FB"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4F005349"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Lithuania</w:t>
            </w:r>
          </w:p>
        </w:tc>
        <w:tc>
          <w:tcPr>
            <w:tcW w:w="1001" w:type="dxa"/>
            <w:tcBorders>
              <w:top w:val="nil"/>
              <w:left w:val="nil"/>
              <w:bottom w:val="single" w:sz="4" w:space="0" w:color="auto"/>
              <w:right w:val="single" w:sz="4" w:space="0" w:color="auto"/>
            </w:tcBorders>
            <w:shd w:val="clear" w:color="auto" w:fill="auto"/>
            <w:noWrap/>
            <w:vAlign w:val="bottom"/>
            <w:hideMark/>
          </w:tcPr>
          <w:p w14:paraId="5A87E72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0.0024</w:t>
            </w:r>
          </w:p>
        </w:tc>
        <w:tc>
          <w:tcPr>
            <w:tcW w:w="1758" w:type="dxa"/>
            <w:tcBorders>
              <w:top w:val="nil"/>
              <w:left w:val="nil"/>
              <w:bottom w:val="single" w:sz="4" w:space="0" w:color="auto"/>
              <w:right w:val="single" w:sz="4" w:space="0" w:color="auto"/>
            </w:tcBorders>
            <w:shd w:val="clear" w:color="auto" w:fill="auto"/>
            <w:noWrap/>
            <w:vAlign w:val="bottom"/>
            <w:hideMark/>
          </w:tcPr>
          <w:p w14:paraId="2ABC39AF"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14.35%</w:t>
            </w:r>
          </w:p>
        </w:tc>
      </w:tr>
      <w:tr w:rsidR="00E947BA" w:rsidRPr="00A54B47" w14:paraId="48FA4539"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4DAE36D2"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Slovenia</w:t>
            </w:r>
          </w:p>
        </w:tc>
        <w:tc>
          <w:tcPr>
            <w:tcW w:w="1001" w:type="dxa"/>
            <w:tcBorders>
              <w:top w:val="nil"/>
              <w:left w:val="nil"/>
              <w:bottom w:val="single" w:sz="4" w:space="0" w:color="auto"/>
              <w:right w:val="single" w:sz="4" w:space="0" w:color="auto"/>
            </w:tcBorders>
            <w:shd w:val="clear" w:color="auto" w:fill="auto"/>
            <w:noWrap/>
            <w:vAlign w:val="bottom"/>
            <w:hideMark/>
          </w:tcPr>
          <w:p w14:paraId="2F79F4A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0.0021</w:t>
            </w:r>
          </w:p>
        </w:tc>
        <w:tc>
          <w:tcPr>
            <w:tcW w:w="1758" w:type="dxa"/>
            <w:tcBorders>
              <w:top w:val="nil"/>
              <w:left w:val="nil"/>
              <w:bottom w:val="single" w:sz="4" w:space="0" w:color="auto"/>
              <w:right w:val="single" w:sz="4" w:space="0" w:color="auto"/>
            </w:tcBorders>
            <w:shd w:val="clear" w:color="auto" w:fill="auto"/>
            <w:noWrap/>
            <w:vAlign w:val="bottom"/>
            <w:hideMark/>
          </w:tcPr>
          <w:p w14:paraId="74AA6BE6"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12.67%</w:t>
            </w:r>
          </w:p>
        </w:tc>
      </w:tr>
      <w:tr w:rsidR="00E947BA" w:rsidRPr="00A54B47" w14:paraId="4B24A4F0"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443E807C"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Estonia</w:t>
            </w:r>
          </w:p>
        </w:tc>
        <w:tc>
          <w:tcPr>
            <w:tcW w:w="1001" w:type="dxa"/>
            <w:tcBorders>
              <w:top w:val="nil"/>
              <w:left w:val="nil"/>
              <w:bottom w:val="single" w:sz="4" w:space="0" w:color="auto"/>
              <w:right w:val="single" w:sz="4" w:space="0" w:color="auto"/>
            </w:tcBorders>
            <w:shd w:val="clear" w:color="auto" w:fill="auto"/>
            <w:noWrap/>
            <w:vAlign w:val="bottom"/>
            <w:hideMark/>
          </w:tcPr>
          <w:p w14:paraId="2CD3FAA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0.0018</w:t>
            </w:r>
          </w:p>
        </w:tc>
        <w:tc>
          <w:tcPr>
            <w:tcW w:w="1758" w:type="dxa"/>
            <w:tcBorders>
              <w:top w:val="nil"/>
              <w:left w:val="nil"/>
              <w:bottom w:val="single" w:sz="4" w:space="0" w:color="auto"/>
              <w:right w:val="single" w:sz="4" w:space="0" w:color="auto"/>
            </w:tcBorders>
            <w:shd w:val="clear" w:color="auto" w:fill="auto"/>
            <w:noWrap/>
            <w:vAlign w:val="bottom"/>
            <w:hideMark/>
          </w:tcPr>
          <w:p w14:paraId="5B4397D5"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10.87%</w:t>
            </w:r>
          </w:p>
        </w:tc>
      </w:tr>
      <w:tr w:rsidR="00E947BA" w:rsidRPr="00A54B47" w14:paraId="3A46A4AA"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57D86DDE"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Greece</w:t>
            </w:r>
          </w:p>
        </w:tc>
        <w:tc>
          <w:tcPr>
            <w:tcW w:w="1001" w:type="dxa"/>
            <w:tcBorders>
              <w:top w:val="nil"/>
              <w:left w:val="nil"/>
              <w:bottom w:val="single" w:sz="4" w:space="0" w:color="auto"/>
              <w:right w:val="single" w:sz="4" w:space="0" w:color="auto"/>
            </w:tcBorders>
            <w:shd w:val="clear" w:color="auto" w:fill="auto"/>
            <w:noWrap/>
            <w:vAlign w:val="bottom"/>
            <w:hideMark/>
          </w:tcPr>
          <w:p w14:paraId="24FBBFF5"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0.0015</w:t>
            </w:r>
          </w:p>
        </w:tc>
        <w:tc>
          <w:tcPr>
            <w:tcW w:w="1758" w:type="dxa"/>
            <w:tcBorders>
              <w:top w:val="nil"/>
              <w:left w:val="nil"/>
              <w:bottom w:val="single" w:sz="4" w:space="0" w:color="auto"/>
              <w:right w:val="single" w:sz="4" w:space="0" w:color="auto"/>
            </w:tcBorders>
            <w:shd w:val="clear" w:color="auto" w:fill="auto"/>
            <w:noWrap/>
            <w:vAlign w:val="bottom"/>
            <w:hideMark/>
          </w:tcPr>
          <w:p w14:paraId="68FFD97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8.93%</w:t>
            </w:r>
          </w:p>
        </w:tc>
      </w:tr>
      <w:tr w:rsidR="00E947BA" w:rsidRPr="00A54B47" w14:paraId="119754FC"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4327DFF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Portugal</w:t>
            </w:r>
          </w:p>
        </w:tc>
        <w:tc>
          <w:tcPr>
            <w:tcW w:w="1001" w:type="dxa"/>
            <w:tcBorders>
              <w:top w:val="nil"/>
              <w:left w:val="nil"/>
              <w:bottom w:val="single" w:sz="4" w:space="0" w:color="auto"/>
              <w:right w:val="single" w:sz="4" w:space="0" w:color="auto"/>
            </w:tcBorders>
            <w:shd w:val="clear" w:color="auto" w:fill="auto"/>
            <w:noWrap/>
            <w:vAlign w:val="bottom"/>
            <w:hideMark/>
          </w:tcPr>
          <w:p w14:paraId="6BC7777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0.0012</w:t>
            </w:r>
          </w:p>
        </w:tc>
        <w:tc>
          <w:tcPr>
            <w:tcW w:w="1758" w:type="dxa"/>
            <w:tcBorders>
              <w:top w:val="nil"/>
              <w:left w:val="nil"/>
              <w:bottom w:val="single" w:sz="4" w:space="0" w:color="auto"/>
              <w:right w:val="single" w:sz="4" w:space="0" w:color="auto"/>
            </w:tcBorders>
            <w:shd w:val="clear" w:color="auto" w:fill="auto"/>
            <w:noWrap/>
            <w:vAlign w:val="bottom"/>
            <w:hideMark/>
          </w:tcPr>
          <w:p w14:paraId="5E3E282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6.89%</w:t>
            </w:r>
          </w:p>
        </w:tc>
      </w:tr>
      <w:tr w:rsidR="00E947BA" w:rsidRPr="00A54B47" w14:paraId="1893350B"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75A401D7"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Bulgaria</w:t>
            </w:r>
          </w:p>
        </w:tc>
        <w:tc>
          <w:tcPr>
            <w:tcW w:w="1001" w:type="dxa"/>
            <w:tcBorders>
              <w:top w:val="nil"/>
              <w:left w:val="nil"/>
              <w:bottom w:val="single" w:sz="4" w:space="0" w:color="auto"/>
              <w:right w:val="single" w:sz="4" w:space="0" w:color="auto"/>
            </w:tcBorders>
            <w:shd w:val="clear" w:color="auto" w:fill="auto"/>
            <w:noWrap/>
            <w:vAlign w:val="bottom"/>
            <w:hideMark/>
          </w:tcPr>
          <w:p w14:paraId="2FE77B16"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0.0005</w:t>
            </w:r>
          </w:p>
        </w:tc>
        <w:tc>
          <w:tcPr>
            <w:tcW w:w="1758" w:type="dxa"/>
            <w:tcBorders>
              <w:top w:val="nil"/>
              <w:left w:val="nil"/>
              <w:bottom w:val="single" w:sz="4" w:space="0" w:color="auto"/>
              <w:right w:val="single" w:sz="4" w:space="0" w:color="auto"/>
            </w:tcBorders>
            <w:shd w:val="clear" w:color="auto" w:fill="auto"/>
            <w:noWrap/>
            <w:vAlign w:val="bottom"/>
            <w:hideMark/>
          </w:tcPr>
          <w:p w14:paraId="5E69B6B5"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2.72%</w:t>
            </w:r>
          </w:p>
        </w:tc>
      </w:tr>
      <w:tr w:rsidR="00E947BA" w:rsidRPr="00A54B47" w14:paraId="0AD359CF"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6266A110"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Finland</w:t>
            </w:r>
          </w:p>
        </w:tc>
        <w:tc>
          <w:tcPr>
            <w:tcW w:w="1001" w:type="dxa"/>
            <w:tcBorders>
              <w:top w:val="nil"/>
              <w:left w:val="nil"/>
              <w:bottom w:val="single" w:sz="4" w:space="0" w:color="auto"/>
              <w:right w:val="single" w:sz="4" w:space="0" w:color="auto"/>
            </w:tcBorders>
            <w:shd w:val="clear" w:color="auto" w:fill="auto"/>
            <w:noWrap/>
            <w:vAlign w:val="bottom"/>
            <w:hideMark/>
          </w:tcPr>
          <w:p w14:paraId="163DDA4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0.0002</w:t>
            </w:r>
          </w:p>
        </w:tc>
        <w:tc>
          <w:tcPr>
            <w:tcW w:w="1758" w:type="dxa"/>
            <w:tcBorders>
              <w:top w:val="nil"/>
              <w:left w:val="nil"/>
              <w:bottom w:val="single" w:sz="4" w:space="0" w:color="auto"/>
              <w:right w:val="single" w:sz="4" w:space="0" w:color="auto"/>
            </w:tcBorders>
            <w:shd w:val="clear" w:color="auto" w:fill="auto"/>
            <w:noWrap/>
            <w:vAlign w:val="bottom"/>
            <w:hideMark/>
          </w:tcPr>
          <w:p w14:paraId="5DEA914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1.20%</w:t>
            </w:r>
          </w:p>
        </w:tc>
      </w:tr>
      <w:tr w:rsidR="00E947BA" w:rsidRPr="00A54B47" w14:paraId="00E9A192" w14:textId="77777777" w:rsidTr="00E947BA">
        <w:trPr>
          <w:trHeight w:val="285"/>
        </w:trPr>
        <w:tc>
          <w:tcPr>
            <w:tcW w:w="1826" w:type="dxa"/>
            <w:tcBorders>
              <w:top w:val="nil"/>
              <w:left w:val="single" w:sz="4" w:space="0" w:color="auto"/>
              <w:bottom w:val="single" w:sz="4" w:space="0" w:color="auto"/>
              <w:right w:val="single" w:sz="4" w:space="0" w:color="auto"/>
            </w:tcBorders>
            <w:shd w:val="clear" w:color="000000" w:fill="99CCFF"/>
            <w:noWrap/>
            <w:vAlign w:val="bottom"/>
            <w:hideMark/>
          </w:tcPr>
          <w:p w14:paraId="692922F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Sweden</w:t>
            </w:r>
          </w:p>
        </w:tc>
        <w:tc>
          <w:tcPr>
            <w:tcW w:w="1001" w:type="dxa"/>
            <w:tcBorders>
              <w:top w:val="nil"/>
              <w:left w:val="nil"/>
              <w:bottom w:val="single" w:sz="4" w:space="0" w:color="auto"/>
              <w:right w:val="single" w:sz="4" w:space="0" w:color="auto"/>
            </w:tcBorders>
            <w:shd w:val="clear" w:color="auto" w:fill="auto"/>
            <w:noWrap/>
            <w:vAlign w:val="bottom"/>
            <w:hideMark/>
          </w:tcPr>
          <w:p w14:paraId="6A2ED2C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0.0001</w:t>
            </w:r>
          </w:p>
        </w:tc>
        <w:tc>
          <w:tcPr>
            <w:tcW w:w="1758" w:type="dxa"/>
            <w:tcBorders>
              <w:top w:val="nil"/>
              <w:left w:val="nil"/>
              <w:bottom w:val="single" w:sz="4" w:space="0" w:color="auto"/>
              <w:right w:val="single" w:sz="4" w:space="0" w:color="auto"/>
            </w:tcBorders>
            <w:shd w:val="clear" w:color="auto" w:fill="auto"/>
            <w:noWrap/>
            <w:vAlign w:val="bottom"/>
            <w:hideMark/>
          </w:tcPr>
          <w:p w14:paraId="21597BA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0.48%</w:t>
            </w:r>
          </w:p>
        </w:tc>
      </w:tr>
    </w:tbl>
    <w:p w14:paraId="1DE800BC" w14:textId="77777777" w:rsidR="00E947BA" w:rsidRDefault="00E947BA" w:rsidP="00E947BA"/>
    <w:p w14:paraId="6870E398" w14:textId="434C18AE" w:rsidR="00E947BA" w:rsidRDefault="002C0A5C" w:rsidP="00E947BA">
      <w:r>
        <w:t xml:space="preserve">Electricity </w:t>
      </w:r>
      <w:r w:rsidR="00213A64">
        <w:t xml:space="preserve">has an overall use, there are very few households without access to the mains, so </w:t>
      </w:r>
      <w:r w:rsidR="007874C3">
        <w:t xml:space="preserve">the following datasets can offer us a better comparison </w:t>
      </w:r>
      <w:r w:rsidR="004B71A5">
        <w:t>of member states.</w:t>
      </w:r>
      <w:r w:rsidR="00D25071">
        <w:t xml:space="preserve"> One may also </w:t>
      </w:r>
      <w:r w:rsidR="00E47B52">
        <w:t>add</w:t>
      </w:r>
      <w:r w:rsidR="00D25071">
        <w:t xml:space="preserve"> that low </w:t>
      </w:r>
      <w:r w:rsidR="00415543">
        <w:t xml:space="preserve">levels of electricity consumption indicate that the household has lower income, and </w:t>
      </w:r>
      <w:r w:rsidR="0039509E">
        <w:t xml:space="preserve">also fewer </w:t>
      </w:r>
      <w:r w:rsidR="00E06D56">
        <w:t xml:space="preserve">appliances and devices at home, </w:t>
      </w:r>
      <w:proofErr w:type="gramStart"/>
      <w:r w:rsidR="00E06D56">
        <w:t>e.g.</w:t>
      </w:r>
      <w:proofErr w:type="gramEnd"/>
      <w:r w:rsidR="00E06D56">
        <w:t xml:space="preserve"> </w:t>
      </w:r>
      <w:r w:rsidR="00E47B52">
        <w:t xml:space="preserve">their quality of life is </w:t>
      </w:r>
      <w:r w:rsidR="00DE7078">
        <w:t>l</w:t>
      </w:r>
      <w:r w:rsidR="00413FC3">
        <w:t>ower</w:t>
      </w:r>
      <w:r w:rsidR="00DE7078">
        <w:t xml:space="preserve">. Higher electricity </w:t>
      </w:r>
      <w:r w:rsidR="003A4E6C">
        <w:t>prices</w:t>
      </w:r>
      <w:r w:rsidR="00DE7078">
        <w:t xml:space="preserve"> can also </w:t>
      </w:r>
      <w:r w:rsidR="00413FC3">
        <w:t xml:space="preserve">lead to </w:t>
      </w:r>
      <w:r w:rsidR="00762506">
        <w:t xml:space="preserve">delays in paying their </w:t>
      </w:r>
      <w:proofErr w:type="gramStart"/>
      <w:r w:rsidR="00762506">
        <w:t>bills, and</w:t>
      </w:r>
      <w:proofErr w:type="gramEnd"/>
      <w:r w:rsidR="00762506">
        <w:t xml:space="preserve"> </w:t>
      </w:r>
      <w:r w:rsidR="003A4E6C">
        <w:t xml:space="preserve">reducing their consumption below acceptable level. Poverty is never </w:t>
      </w:r>
      <w:proofErr w:type="gramStart"/>
      <w:r w:rsidR="003A4E6C">
        <w:t>effi</w:t>
      </w:r>
      <w:r w:rsidR="002B5B81">
        <w:t>cient</w:t>
      </w:r>
      <w:r w:rsidR="00A42215">
        <w:t>,</w:t>
      </w:r>
      <w:proofErr w:type="gramEnd"/>
      <w:r w:rsidR="00A42215">
        <w:t xml:space="preserve"> energy policy should not punish those living at</w:t>
      </w:r>
      <w:r w:rsidR="00396EBE">
        <w:t xml:space="preserve"> risk of or in poverty and deprivation.</w:t>
      </w:r>
      <w:r w:rsidR="001C3003">
        <w:t xml:space="preserve"> In lagging behind </w:t>
      </w:r>
      <w:r w:rsidR="0095372F">
        <w:t>regions,</w:t>
      </w:r>
      <w:r w:rsidR="001C3003">
        <w:t xml:space="preserve"> </w:t>
      </w:r>
      <w:r w:rsidR="00EC5297">
        <w:t xml:space="preserve">a rise in electricity consumption </w:t>
      </w:r>
      <w:r w:rsidR="00447E5E">
        <w:t>reflects the improving living conditions</w:t>
      </w:r>
      <w:r w:rsidR="004B61B3">
        <w:t xml:space="preserve"> of the population.</w:t>
      </w:r>
    </w:p>
    <w:p w14:paraId="34E02294" w14:textId="77777777" w:rsidR="002C0A5C" w:rsidRDefault="002C0A5C" w:rsidP="00E947BA"/>
    <w:tbl>
      <w:tblPr>
        <w:tblW w:w="4585" w:type="dxa"/>
        <w:tblCellMar>
          <w:left w:w="70" w:type="dxa"/>
          <w:right w:w="70" w:type="dxa"/>
        </w:tblCellMar>
        <w:tblLook w:val="04A0" w:firstRow="1" w:lastRow="0" w:firstColumn="1" w:lastColumn="0" w:noHBand="0" w:noVBand="1"/>
      </w:tblPr>
      <w:tblGrid>
        <w:gridCol w:w="1706"/>
        <w:gridCol w:w="1191"/>
        <w:gridCol w:w="1688"/>
      </w:tblGrid>
      <w:tr w:rsidR="00E947BA" w:rsidRPr="00A54B47" w14:paraId="7823C1F1" w14:textId="77777777" w:rsidTr="00E947BA">
        <w:trPr>
          <w:trHeight w:val="285"/>
        </w:trPr>
        <w:tc>
          <w:tcPr>
            <w:tcW w:w="4585" w:type="dxa"/>
            <w:gridSpan w:val="3"/>
            <w:tcBorders>
              <w:top w:val="single" w:sz="4" w:space="0" w:color="auto"/>
              <w:left w:val="single" w:sz="4" w:space="0" w:color="auto"/>
              <w:bottom w:val="single" w:sz="4" w:space="0" w:color="auto"/>
              <w:right w:val="single" w:sz="4" w:space="0" w:color="000000"/>
            </w:tcBorders>
            <w:shd w:val="clear" w:color="000000" w:fill="99CCFF"/>
            <w:noWrap/>
            <w:vAlign w:val="bottom"/>
            <w:hideMark/>
          </w:tcPr>
          <w:p w14:paraId="4DD82582" w14:textId="77777777" w:rsidR="00E947BA" w:rsidRPr="00A54B47" w:rsidRDefault="00E947BA" w:rsidP="00C066F9">
            <w:pPr>
              <w:spacing w:line="240" w:lineRule="auto"/>
              <w:jc w:val="center"/>
              <w:rPr>
                <w:rFonts w:ascii="Arial" w:hAnsi="Arial" w:cs="Arial"/>
                <w:i/>
                <w:iCs/>
                <w:lang w:eastAsia="hu-HU"/>
              </w:rPr>
            </w:pPr>
            <w:r w:rsidRPr="00A54B47">
              <w:rPr>
                <w:rFonts w:ascii="Arial" w:hAnsi="Arial" w:cs="Arial"/>
                <w:i/>
                <w:iCs/>
                <w:lang w:eastAsia="hu-HU"/>
              </w:rPr>
              <w:t>Electricity prices for household consumers</w:t>
            </w:r>
          </w:p>
        </w:tc>
      </w:tr>
      <w:tr w:rsidR="00E947BA" w:rsidRPr="00A54B47" w14:paraId="7E91FE52" w14:textId="77777777" w:rsidTr="00E947BA">
        <w:trPr>
          <w:trHeight w:val="300"/>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0ED432F7"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member state</w:t>
            </w:r>
          </w:p>
        </w:tc>
        <w:tc>
          <w:tcPr>
            <w:tcW w:w="1191" w:type="dxa"/>
            <w:tcBorders>
              <w:top w:val="nil"/>
              <w:left w:val="nil"/>
              <w:bottom w:val="single" w:sz="4" w:space="0" w:color="auto"/>
              <w:right w:val="single" w:sz="4" w:space="0" w:color="auto"/>
            </w:tcBorders>
            <w:shd w:val="clear" w:color="000000" w:fill="99CCFF"/>
            <w:noWrap/>
            <w:vAlign w:val="bottom"/>
            <w:hideMark/>
          </w:tcPr>
          <w:p w14:paraId="7DB3DD4E"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EUR/kWh</w:t>
            </w:r>
          </w:p>
        </w:tc>
        <w:tc>
          <w:tcPr>
            <w:tcW w:w="1688" w:type="dxa"/>
            <w:tcBorders>
              <w:top w:val="nil"/>
              <w:left w:val="nil"/>
              <w:bottom w:val="single" w:sz="4" w:space="0" w:color="auto"/>
              <w:right w:val="single" w:sz="4" w:space="0" w:color="auto"/>
            </w:tcBorders>
            <w:shd w:val="clear" w:color="000000" w:fill="99CCFF"/>
            <w:noWrap/>
            <w:vAlign w:val="bottom"/>
            <w:hideMark/>
          </w:tcPr>
          <w:p w14:paraId="783E06A6"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 xml:space="preserve">% </w:t>
            </w:r>
            <w:proofErr w:type="gramStart"/>
            <w:r w:rsidRPr="00A54B47">
              <w:rPr>
                <w:rFonts w:ascii="Arial" w:hAnsi="Arial" w:cs="Arial"/>
                <w:b/>
                <w:bCs/>
                <w:lang w:eastAsia="hu-HU"/>
              </w:rPr>
              <w:t>of</w:t>
            </w:r>
            <w:proofErr w:type="gramEnd"/>
            <w:r w:rsidRPr="00A54B47">
              <w:rPr>
                <w:rFonts w:ascii="Arial" w:hAnsi="Arial" w:cs="Arial"/>
                <w:b/>
                <w:bCs/>
                <w:lang w:eastAsia="hu-HU"/>
              </w:rPr>
              <w:t xml:space="preserve"> highest</w:t>
            </w:r>
          </w:p>
        </w:tc>
      </w:tr>
      <w:tr w:rsidR="00E947BA" w:rsidRPr="00A54B47" w14:paraId="54857738"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41D67EE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Ireland</w:t>
            </w:r>
          </w:p>
        </w:tc>
        <w:tc>
          <w:tcPr>
            <w:tcW w:w="1191" w:type="dxa"/>
            <w:tcBorders>
              <w:top w:val="nil"/>
              <w:left w:val="nil"/>
              <w:bottom w:val="single" w:sz="4" w:space="0" w:color="auto"/>
              <w:right w:val="single" w:sz="4" w:space="0" w:color="auto"/>
            </w:tcBorders>
            <w:shd w:val="clear" w:color="auto" w:fill="auto"/>
            <w:noWrap/>
            <w:vAlign w:val="bottom"/>
            <w:hideMark/>
          </w:tcPr>
          <w:p w14:paraId="5CCF728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0.2179</w:t>
            </w:r>
          </w:p>
        </w:tc>
        <w:tc>
          <w:tcPr>
            <w:tcW w:w="1688" w:type="dxa"/>
            <w:tcBorders>
              <w:top w:val="nil"/>
              <w:left w:val="nil"/>
              <w:bottom w:val="single" w:sz="4" w:space="0" w:color="auto"/>
              <w:right w:val="single" w:sz="4" w:space="0" w:color="auto"/>
            </w:tcBorders>
            <w:shd w:val="clear" w:color="auto" w:fill="auto"/>
            <w:noWrap/>
            <w:vAlign w:val="bottom"/>
            <w:hideMark/>
          </w:tcPr>
          <w:p w14:paraId="1D68B21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100.00%</w:t>
            </w:r>
          </w:p>
        </w:tc>
      </w:tr>
      <w:tr w:rsidR="00E947BA" w:rsidRPr="00A54B47" w14:paraId="45181CEE"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1F3B8F2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Belgium</w:t>
            </w:r>
          </w:p>
        </w:tc>
        <w:tc>
          <w:tcPr>
            <w:tcW w:w="1191" w:type="dxa"/>
            <w:tcBorders>
              <w:top w:val="nil"/>
              <w:left w:val="nil"/>
              <w:bottom w:val="single" w:sz="4" w:space="0" w:color="auto"/>
              <w:right w:val="single" w:sz="4" w:space="0" w:color="auto"/>
            </w:tcBorders>
            <w:shd w:val="clear" w:color="auto" w:fill="auto"/>
            <w:noWrap/>
            <w:vAlign w:val="bottom"/>
            <w:hideMark/>
          </w:tcPr>
          <w:p w14:paraId="4AEF0BD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0.1798</w:t>
            </w:r>
          </w:p>
        </w:tc>
        <w:tc>
          <w:tcPr>
            <w:tcW w:w="1688" w:type="dxa"/>
            <w:tcBorders>
              <w:top w:val="nil"/>
              <w:left w:val="nil"/>
              <w:bottom w:val="single" w:sz="4" w:space="0" w:color="auto"/>
              <w:right w:val="single" w:sz="4" w:space="0" w:color="auto"/>
            </w:tcBorders>
            <w:shd w:val="clear" w:color="auto" w:fill="auto"/>
            <w:noWrap/>
            <w:vAlign w:val="bottom"/>
            <w:hideMark/>
          </w:tcPr>
          <w:p w14:paraId="4FA697B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82.51%</w:t>
            </w:r>
          </w:p>
        </w:tc>
      </w:tr>
      <w:tr w:rsidR="00E947BA" w:rsidRPr="00A54B47" w14:paraId="4BA789BB"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491AA62F"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Luxembourg</w:t>
            </w:r>
          </w:p>
        </w:tc>
        <w:tc>
          <w:tcPr>
            <w:tcW w:w="1191" w:type="dxa"/>
            <w:tcBorders>
              <w:top w:val="nil"/>
              <w:left w:val="nil"/>
              <w:bottom w:val="single" w:sz="4" w:space="0" w:color="auto"/>
              <w:right w:val="single" w:sz="4" w:space="0" w:color="auto"/>
            </w:tcBorders>
            <w:shd w:val="clear" w:color="auto" w:fill="auto"/>
            <w:noWrap/>
            <w:vAlign w:val="bottom"/>
            <w:hideMark/>
          </w:tcPr>
          <w:p w14:paraId="1E663D1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0.1465</w:t>
            </w:r>
          </w:p>
        </w:tc>
        <w:tc>
          <w:tcPr>
            <w:tcW w:w="1688" w:type="dxa"/>
            <w:tcBorders>
              <w:top w:val="nil"/>
              <w:left w:val="nil"/>
              <w:bottom w:val="single" w:sz="4" w:space="0" w:color="auto"/>
              <w:right w:val="single" w:sz="4" w:space="0" w:color="auto"/>
            </w:tcBorders>
            <w:shd w:val="clear" w:color="auto" w:fill="auto"/>
            <w:noWrap/>
            <w:vAlign w:val="bottom"/>
            <w:hideMark/>
          </w:tcPr>
          <w:p w14:paraId="5342FB1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67.23%</w:t>
            </w:r>
          </w:p>
        </w:tc>
      </w:tr>
      <w:tr w:rsidR="00E947BA" w:rsidRPr="00A54B47" w14:paraId="7BC715F8"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755BA5BE"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Germany</w:t>
            </w:r>
          </w:p>
        </w:tc>
        <w:tc>
          <w:tcPr>
            <w:tcW w:w="1191" w:type="dxa"/>
            <w:tcBorders>
              <w:top w:val="nil"/>
              <w:left w:val="nil"/>
              <w:bottom w:val="single" w:sz="4" w:space="0" w:color="auto"/>
              <w:right w:val="single" w:sz="4" w:space="0" w:color="auto"/>
            </w:tcBorders>
            <w:shd w:val="clear" w:color="auto" w:fill="auto"/>
            <w:noWrap/>
            <w:vAlign w:val="bottom"/>
            <w:hideMark/>
          </w:tcPr>
          <w:p w14:paraId="57F26FE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0.1451</w:t>
            </w:r>
          </w:p>
        </w:tc>
        <w:tc>
          <w:tcPr>
            <w:tcW w:w="1688" w:type="dxa"/>
            <w:tcBorders>
              <w:top w:val="nil"/>
              <w:left w:val="nil"/>
              <w:bottom w:val="single" w:sz="4" w:space="0" w:color="auto"/>
              <w:right w:val="single" w:sz="4" w:space="0" w:color="auto"/>
            </w:tcBorders>
            <w:shd w:val="clear" w:color="auto" w:fill="auto"/>
            <w:noWrap/>
            <w:vAlign w:val="bottom"/>
            <w:hideMark/>
          </w:tcPr>
          <w:p w14:paraId="0ABC7AF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66.59%</w:t>
            </w:r>
          </w:p>
        </w:tc>
      </w:tr>
      <w:tr w:rsidR="00E947BA" w:rsidRPr="00A54B47" w14:paraId="61C64072"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1FA2D809"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Austria</w:t>
            </w:r>
          </w:p>
        </w:tc>
        <w:tc>
          <w:tcPr>
            <w:tcW w:w="1191" w:type="dxa"/>
            <w:tcBorders>
              <w:top w:val="nil"/>
              <w:left w:val="nil"/>
              <w:bottom w:val="single" w:sz="4" w:space="0" w:color="auto"/>
              <w:right w:val="single" w:sz="4" w:space="0" w:color="auto"/>
            </w:tcBorders>
            <w:shd w:val="clear" w:color="auto" w:fill="auto"/>
            <w:noWrap/>
            <w:vAlign w:val="bottom"/>
            <w:hideMark/>
          </w:tcPr>
          <w:p w14:paraId="45469E5F"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0.1384</w:t>
            </w:r>
          </w:p>
        </w:tc>
        <w:tc>
          <w:tcPr>
            <w:tcW w:w="1688" w:type="dxa"/>
            <w:tcBorders>
              <w:top w:val="nil"/>
              <w:left w:val="nil"/>
              <w:bottom w:val="single" w:sz="4" w:space="0" w:color="auto"/>
              <w:right w:val="single" w:sz="4" w:space="0" w:color="auto"/>
            </w:tcBorders>
            <w:shd w:val="clear" w:color="auto" w:fill="auto"/>
            <w:noWrap/>
            <w:vAlign w:val="bottom"/>
            <w:hideMark/>
          </w:tcPr>
          <w:p w14:paraId="413678D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63.52%</w:t>
            </w:r>
          </w:p>
        </w:tc>
      </w:tr>
      <w:tr w:rsidR="00E947BA" w:rsidRPr="00A54B47" w14:paraId="5484E3B9"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0DA330AE"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Netherlands</w:t>
            </w:r>
          </w:p>
        </w:tc>
        <w:tc>
          <w:tcPr>
            <w:tcW w:w="1191" w:type="dxa"/>
            <w:tcBorders>
              <w:top w:val="nil"/>
              <w:left w:val="nil"/>
              <w:bottom w:val="single" w:sz="4" w:space="0" w:color="auto"/>
              <w:right w:val="single" w:sz="4" w:space="0" w:color="auto"/>
            </w:tcBorders>
            <w:shd w:val="clear" w:color="auto" w:fill="auto"/>
            <w:noWrap/>
            <w:vAlign w:val="bottom"/>
            <w:hideMark/>
          </w:tcPr>
          <w:p w14:paraId="488F3FD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0.1365</w:t>
            </w:r>
          </w:p>
        </w:tc>
        <w:tc>
          <w:tcPr>
            <w:tcW w:w="1688" w:type="dxa"/>
            <w:tcBorders>
              <w:top w:val="nil"/>
              <w:left w:val="nil"/>
              <w:bottom w:val="single" w:sz="4" w:space="0" w:color="auto"/>
              <w:right w:val="single" w:sz="4" w:space="0" w:color="auto"/>
            </w:tcBorders>
            <w:shd w:val="clear" w:color="auto" w:fill="auto"/>
            <w:noWrap/>
            <w:vAlign w:val="bottom"/>
            <w:hideMark/>
          </w:tcPr>
          <w:p w14:paraId="3A907FD5"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62.64%</w:t>
            </w:r>
          </w:p>
        </w:tc>
      </w:tr>
      <w:tr w:rsidR="00E947BA" w:rsidRPr="00A54B47" w14:paraId="6F91F246"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092105C7"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Italy</w:t>
            </w:r>
          </w:p>
        </w:tc>
        <w:tc>
          <w:tcPr>
            <w:tcW w:w="1191" w:type="dxa"/>
            <w:tcBorders>
              <w:top w:val="nil"/>
              <w:left w:val="nil"/>
              <w:bottom w:val="single" w:sz="4" w:space="0" w:color="auto"/>
              <w:right w:val="single" w:sz="4" w:space="0" w:color="auto"/>
            </w:tcBorders>
            <w:shd w:val="clear" w:color="auto" w:fill="auto"/>
            <w:noWrap/>
            <w:vAlign w:val="bottom"/>
            <w:hideMark/>
          </w:tcPr>
          <w:p w14:paraId="52E7676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0.1331</w:t>
            </w:r>
          </w:p>
        </w:tc>
        <w:tc>
          <w:tcPr>
            <w:tcW w:w="1688" w:type="dxa"/>
            <w:tcBorders>
              <w:top w:val="nil"/>
              <w:left w:val="nil"/>
              <w:bottom w:val="single" w:sz="4" w:space="0" w:color="auto"/>
              <w:right w:val="single" w:sz="4" w:space="0" w:color="auto"/>
            </w:tcBorders>
            <w:shd w:val="clear" w:color="auto" w:fill="auto"/>
            <w:noWrap/>
            <w:vAlign w:val="bottom"/>
            <w:hideMark/>
          </w:tcPr>
          <w:p w14:paraId="1276B88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61.08%</w:t>
            </w:r>
          </w:p>
        </w:tc>
      </w:tr>
      <w:tr w:rsidR="00E947BA" w:rsidRPr="00A54B47" w14:paraId="63CF078E"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4D086276"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France</w:t>
            </w:r>
          </w:p>
        </w:tc>
        <w:tc>
          <w:tcPr>
            <w:tcW w:w="1191" w:type="dxa"/>
            <w:tcBorders>
              <w:top w:val="nil"/>
              <w:left w:val="nil"/>
              <w:bottom w:val="single" w:sz="4" w:space="0" w:color="auto"/>
              <w:right w:val="single" w:sz="4" w:space="0" w:color="auto"/>
            </w:tcBorders>
            <w:shd w:val="clear" w:color="auto" w:fill="auto"/>
            <w:noWrap/>
            <w:vAlign w:val="bottom"/>
            <w:hideMark/>
          </w:tcPr>
          <w:p w14:paraId="55B62C9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0.1292</w:t>
            </w:r>
          </w:p>
        </w:tc>
        <w:tc>
          <w:tcPr>
            <w:tcW w:w="1688" w:type="dxa"/>
            <w:tcBorders>
              <w:top w:val="nil"/>
              <w:left w:val="nil"/>
              <w:bottom w:val="single" w:sz="4" w:space="0" w:color="auto"/>
              <w:right w:val="single" w:sz="4" w:space="0" w:color="auto"/>
            </w:tcBorders>
            <w:shd w:val="clear" w:color="auto" w:fill="auto"/>
            <w:noWrap/>
            <w:vAlign w:val="bottom"/>
            <w:hideMark/>
          </w:tcPr>
          <w:p w14:paraId="48D9BA5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59.29%</w:t>
            </w:r>
          </w:p>
        </w:tc>
      </w:tr>
      <w:tr w:rsidR="00E947BA" w:rsidRPr="00A54B47" w14:paraId="418B9076"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1861ABE7"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Czechia</w:t>
            </w:r>
          </w:p>
        </w:tc>
        <w:tc>
          <w:tcPr>
            <w:tcW w:w="1191" w:type="dxa"/>
            <w:tcBorders>
              <w:top w:val="nil"/>
              <w:left w:val="nil"/>
              <w:bottom w:val="single" w:sz="4" w:space="0" w:color="auto"/>
              <w:right w:val="single" w:sz="4" w:space="0" w:color="auto"/>
            </w:tcBorders>
            <w:shd w:val="clear" w:color="auto" w:fill="auto"/>
            <w:noWrap/>
            <w:vAlign w:val="bottom"/>
            <w:hideMark/>
          </w:tcPr>
          <w:p w14:paraId="760C842C"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0.1283</w:t>
            </w:r>
          </w:p>
        </w:tc>
        <w:tc>
          <w:tcPr>
            <w:tcW w:w="1688" w:type="dxa"/>
            <w:tcBorders>
              <w:top w:val="nil"/>
              <w:left w:val="nil"/>
              <w:bottom w:val="single" w:sz="4" w:space="0" w:color="auto"/>
              <w:right w:val="single" w:sz="4" w:space="0" w:color="auto"/>
            </w:tcBorders>
            <w:shd w:val="clear" w:color="auto" w:fill="auto"/>
            <w:noWrap/>
            <w:vAlign w:val="bottom"/>
            <w:hideMark/>
          </w:tcPr>
          <w:p w14:paraId="5937823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58.88%</w:t>
            </w:r>
          </w:p>
        </w:tc>
      </w:tr>
      <w:tr w:rsidR="00E947BA" w:rsidRPr="00A54B47" w14:paraId="297CE9A0"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2231CAD9"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Greece</w:t>
            </w:r>
          </w:p>
        </w:tc>
        <w:tc>
          <w:tcPr>
            <w:tcW w:w="1191" w:type="dxa"/>
            <w:tcBorders>
              <w:top w:val="nil"/>
              <w:left w:val="nil"/>
              <w:bottom w:val="single" w:sz="4" w:space="0" w:color="auto"/>
              <w:right w:val="single" w:sz="4" w:space="0" w:color="auto"/>
            </w:tcBorders>
            <w:shd w:val="clear" w:color="auto" w:fill="auto"/>
            <w:noWrap/>
            <w:vAlign w:val="bottom"/>
            <w:hideMark/>
          </w:tcPr>
          <w:p w14:paraId="6B3FA15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0.1278</w:t>
            </w:r>
          </w:p>
        </w:tc>
        <w:tc>
          <w:tcPr>
            <w:tcW w:w="1688" w:type="dxa"/>
            <w:tcBorders>
              <w:top w:val="nil"/>
              <w:left w:val="nil"/>
              <w:bottom w:val="single" w:sz="4" w:space="0" w:color="auto"/>
              <w:right w:val="single" w:sz="4" w:space="0" w:color="auto"/>
            </w:tcBorders>
            <w:shd w:val="clear" w:color="auto" w:fill="auto"/>
            <w:noWrap/>
            <w:vAlign w:val="bottom"/>
            <w:hideMark/>
          </w:tcPr>
          <w:p w14:paraId="031DCE3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58.65%</w:t>
            </w:r>
          </w:p>
        </w:tc>
      </w:tr>
      <w:tr w:rsidR="00E947BA" w:rsidRPr="00A54B47" w14:paraId="6183D4E9"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381B6A35"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Spain</w:t>
            </w:r>
          </w:p>
        </w:tc>
        <w:tc>
          <w:tcPr>
            <w:tcW w:w="1191" w:type="dxa"/>
            <w:tcBorders>
              <w:top w:val="nil"/>
              <w:left w:val="nil"/>
              <w:bottom w:val="single" w:sz="4" w:space="0" w:color="auto"/>
              <w:right w:val="single" w:sz="4" w:space="0" w:color="auto"/>
            </w:tcBorders>
            <w:shd w:val="clear" w:color="auto" w:fill="auto"/>
            <w:noWrap/>
            <w:vAlign w:val="bottom"/>
            <w:hideMark/>
          </w:tcPr>
          <w:p w14:paraId="0EC63DE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0.1260</w:t>
            </w:r>
          </w:p>
        </w:tc>
        <w:tc>
          <w:tcPr>
            <w:tcW w:w="1688" w:type="dxa"/>
            <w:tcBorders>
              <w:top w:val="nil"/>
              <w:left w:val="nil"/>
              <w:bottom w:val="single" w:sz="4" w:space="0" w:color="auto"/>
              <w:right w:val="single" w:sz="4" w:space="0" w:color="auto"/>
            </w:tcBorders>
            <w:shd w:val="clear" w:color="auto" w:fill="auto"/>
            <w:noWrap/>
            <w:vAlign w:val="bottom"/>
            <w:hideMark/>
          </w:tcPr>
          <w:p w14:paraId="6640DDA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57.82%</w:t>
            </w:r>
          </w:p>
        </w:tc>
      </w:tr>
      <w:tr w:rsidR="00E947BA" w:rsidRPr="00A54B47" w14:paraId="4FD7B03C"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198BE3E9"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Malta</w:t>
            </w:r>
          </w:p>
        </w:tc>
        <w:tc>
          <w:tcPr>
            <w:tcW w:w="1191" w:type="dxa"/>
            <w:tcBorders>
              <w:top w:val="nil"/>
              <w:left w:val="nil"/>
              <w:bottom w:val="single" w:sz="4" w:space="0" w:color="auto"/>
              <w:right w:val="single" w:sz="4" w:space="0" w:color="auto"/>
            </w:tcBorders>
            <w:shd w:val="clear" w:color="auto" w:fill="auto"/>
            <w:noWrap/>
            <w:vAlign w:val="bottom"/>
            <w:hideMark/>
          </w:tcPr>
          <w:p w14:paraId="26B31F6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0.1224</w:t>
            </w:r>
          </w:p>
        </w:tc>
        <w:tc>
          <w:tcPr>
            <w:tcW w:w="1688" w:type="dxa"/>
            <w:tcBorders>
              <w:top w:val="nil"/>
              <w:left w:val="nil"/>
              <w:bottom w:val="single" w:sz="4" w:space="0" w:color="auto"/>
              <w:right w:val="single" w:sz="4" w:space="0" w:color="auto"/>
            </w:tcBorders>
            <w:shd w:val="clear" w:color="auto" w:fill="auto"/>
            <w:noWrap/>
            <w:vAlign w:val="bottom"/>
            <w:hideMark/>
          </w:tcPr>
          <w:p w14:paraId="40C7E63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56.17%</w:t>
            </w:r>
          </w:p>
        </w:tc>
      </w:tr>
      <w:tr w:rsidR="00E947BA" w:rsidRPr="00A54B47" w14:paraId="7FAF1D81"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2090C8FD"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Finland</w:t>
            </w:r>
          </w:p>
        </w:tc>
        <w:tc>
          <w:tcPr>
            <w:tcW w:w="1191" w:type="dxa"/>
            <w:tcBorders>
              <w:top w:val="nil"/>
              <w:left w:val="nil"/>
              <w:bottom w:val="single" w:sz="4" w:space="0" w:color="auto"/>
              <w:right w:val="single" w:sz="4" w:space="0" w:color="auto"/>
            </w:tcBorders>
            <w:shd w:val="clear" w:color="auto" w:fill="auto"/>
            <w:noWrap/>
            <w:vAlign w:val="bottom"/>
            <w:hideMark/>
          </w:tcPr>
          <w:p w14:paraId="6D7B478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0.1205</w:t>
            </w:r>
          </w:p>
        </w:tc>
        <w:tc>
          <w:tcPr>
            <w:tcW w:w="1688" w:type="dxa"/>
            <w:tcBorders>
              <w:top w:val="nil"/>
              <w:left w:val="nil"/>
              <w:bottom w:val="single" w:sz="4" w:space="0" w:color="auto"/>
              <w:right w:val="single" w:sz="4" w:space="0" w:color="auto"/>
            </w:tcBorders>
            <w:shd w:val="clear" w:color="auto" w:fill="auto"/>
            <w:noWrap/>
            <w:vAlign w:val="bottom"/>
            <w:hideMark/>
          </w:tcPr>
          <w:p w14:paraId="2D7514E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55.30%</w:t>
            </w:r>
          </w:p>
        </w:tc>
      </w:tr>
      <w:tr w:rsidR="00E947BA" w:rsidRPr="00A54B47" w14:paraId="4A368E7D"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7C0BE44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Cyprus</w:t>
            </w:r>
          </w:p>
        </w:tc>
        <w:tc>
          <w:tcPr>
            <w:tcW w:w="1191" w:type="dxa"/>
            <w:tcBorders>
              <w:top w:val="nil"/>
              <w:left w:val="nil"/>
              <w:bottom w:val="single" w:sz="4" w:space="0" w:color="auto"/>
              <w:right w:val="single" w:sz="4" w:space="0" w:color="auto"/>
            </w:tcBorders>
            <w:shd w:val="clear" w:color="auto" w:fill="auto"/>
            <w:noWrap/>
            <w:vAlign w:val="bottom"/>
            <w:hideMark/>
          </w:tcPr>
          <w:p w14:paraId="6F41994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0.1184</w:t>
            </w:r>
          </w:p>
        </w:tc>
        <w:tc>
          <w:tcPr>
            <w:tcW w:w="1688" w:type="dxa"/>
            <w:tcBorders>
              <w:top w:val="nil"/>
              <w:left w:val="nil"/>
              <w:bottom w:val="single" w:sz="4" w:space="0" w:color="auto"/>
              <w:right w:val="single" w:sz="4" w:space="0" w:color="auto"/>
            </w:tcBorders>
            <w:shd w:val="clear" w:color="auto" w:fill="auto"/>
            <w:noWrap/>
            <w:vAlign w:val="bottom"/>
            <w:hideMark/>
          </w:tcPr>
          <w:p w14:paraId="42A189F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54.34%</w:t>
            </w:r>
          </w:p>
        </w:tc>
      </w:tr>
      <w:tr w:rsidR="00E947BA" w:rsidRPr="00A54B47" w14:paraId="0D364F01"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2A052F5F"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Slovenia</w:t>
            </w:r>
          </w:p>
        </w:tc>
        <w:tc>
          <w:tcPr>
            <w:tcW w:w="1191" w:type="dxa"/>
            <w:tcBorders>
              <w:top w:val="nil"/>
              <w:left w:val="nil"/>
              <w:bottom w:val="single" w:sz="4" w:space="0" w:color="auto"/>
              <w:right w:val="single" w:sz="4" w:space="0" w:color="auto"/>
            </w:tcBorders>
            <w:shd w:val="clear" w:color="auto" w:fill="auto"/>
            <w:noWrap/>
            <w:vAlign w:val="bottom"/>
            <w:hideMark/>
          </w:tcPr>
          <w:p w14:paraId="23F720D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0.1180</w:t>
            </w:r>
          </w:p>
        </w:tc>
        <w:tc>
          <w:tcPr>
            <w:tcW w:w="1688" w:type="dxa"/>
            <w:tcBorders>
              <w:top w:val="nil"/>
              <w:left w:val="nil"/>
              <w:bottom w:val="single" w:sz="4" w:space="0" w:color="auto"/>
              <w:right w:val="single" w:sz="4" w:space="0" w:color="auto"/>
            </w:tcBorders>
            <w:shd w:val="clear" w:color="auto" w:fill="auto"/>
            <w:noWrap/>
            <w:vAlign w:val="bottom"/>
            <w:hideMark/>
          </w:tcPr>
          <w:p w14:paraId="5AB2821C"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54.15%</w:t>
            </w:r>
          </w:p>
        </w:tc>
      </w:tr>
      <w:tr w:rsidR="00E947BA" w:rsidRPr="00A54B47" w14:paraId="6516804C"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7781A33D"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Portugal</w:t>
            </w:r>
          </w:p>
        </w:tc>
        <w:tc>
          <w:tcPr>
            <w:tcW w:w="1191" w:type="dxa"/>
            <w:tcBorders>
              <w:top w:val="nil"/>
              <w:left w:val="nil"/>
              <w:bottom w:val="single" w:sz="4" w:space="0" w:color="auto"/>
              <w:right w:val="single" w:sz="4" w:space="0" w:color="auto"/>
            </w:tcBorders>
            <w:shd w:val="clear" w:color="auto" w:fill="auto"/>
            <w:noWrap/>
            <w:vAlign w:val="bottom"/>
            <w:hideMark/>
          </w:tcPr>
          <w:p w14:paraId="43605F1C"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0.1138</w:t>
            </w:r>
          </w:p>
        </w:tc>
        <w:tc>
          <w:tcPr>
            <w:tcW w:w="1688" w:type="dxa"/>
            <w:tcBorders>
              <w:top w:val="nil"/>
              <w:left w:val="nil"/>
              <w:bottom w:val="single" w:sz="4" w:space="0" w:color="auto"/>
              <w:right w:val="single" w:sz="4" w:space="0" w:color="auto"/>
            </w:tcBorders>
            <w:shd w:val="clear" w:color="auto" w:fill="auto"/>
            <w:noWrap/>
            <w:vAlign w:val="bottom"/>
            <w:hideMark/>
          </w:tcPr>
          <w:p w14:paraId="632D8A1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52.23%</w:t>
            </w:r>
          </w:p>
        </w:tc>
      </w:tr>
      <w:tr w:rsidR="00E947BA" w:rsidRPr="00A54B47" w14:paraId="703C4EF4"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2B44C072"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Slovakia</w:t>
            </w:r>
          </w:p>
        </w:tc>
        <w:tc>
          <w:tcPr>
            <w:tcW w:w="1191" w:type="dxa"/>
            <w:tcBorders>
              <w:top w:val="nil"/>
              <w:left w:val="nil"/>
              <w:bottom w:val="single" w:sz="4" w:space="0" w:color="auto"/>
              <w:right w:val="single" w:sz="4" w:space="0" w:color="auto"/>
            </w:tcBorders>
            <w:shd w:val="clear" w:color="auto" w:fill="auto"/>
            <w:noWrap/>
            <w:vAlign w:val="bottom"/>
            <w:hideMark/>
          </w:tcPr>
          <w:p w14:paraId="0797B14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0.1106</w:t>
            </w:r>
          </w:p>
        </w:tc>
        <w:tc>
          <w:tcPr>
            <w:tcW w:w="1688" w:type="dxa"/>
            <w:tcBorders>
              <w:top w:val="nil"/>
              <w:left w:val="nil"/>
              <w:bottom w:val="single" w:sz="4" w:space="0" w:color="auto"/>
              <w:right w:val="single" w:sz="4" w:space="0" w:color="auto"/>
            </w:tcBorders>
            <w:shd w:val="clear" w:color="auto" w:fill="auto"/>
            <w:noWrap/>
            <w:vAlign w:val="bottom"/>
            <w:hideMark/>
          </w:tcPr>
          <w:p w14:paraId="6178BEC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50.76%</w:t>
            </w:r>
          </w:p>
        </w:tc>
      </w:tr>
      <w:tr w:rsidR="00E947BA" w:rsidRPr="00A54B47" w14:paraId="6A43A3A7"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54ADE55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Romania</w:t>
            </w:r>
          </w:p>
        </w:tc>
        <w:tc>
          <w:tcPr>
            <w:tcW w:w="1191" w:type="dxa"/>
            <w:tcBorders>
              <w:top w:val="nil"/>
              <w:left w:val="nil"/>
              <w:bottom w:val="single" w:sz="4" w:space="0" w:color="auto"/>
              <w:right w:val="single" w:sz="4" w:space="0" w:color="auto"/>
            </w:tcBorders>
            <w:shd w:val="clear" w:color="auto" w:fill="auto"/>
            <w:noWrap/>
            <w:vAlign w:val="bottom"/>
            <w:hideMark/>
          </w:tcPr>
          <w:p w14:paraId="2E4440C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0.1040</w:t>
            </w:r>
          </w:p>
        </w:tc>
        <w:tc>
          <w:tcPr>
            <w:tcW w:w="1688" w:type="dxa"/>
            <w:tcBorders>
              <w:top w:val="nil"/>
              <w:left w:val="nil"/>
              <w:bottom w:val="single" w:sz="4" w:space="0" w:color="auto"/>
              <w:right w:val="single" w:sz="4" w:space="0" w:color="auto"/>
            </w:tcBorders>
            <w:shd w:val="clear" w:color="auto" w:fill="auto"/>
            <w:noWrap/>
            <w:vAlign w:val="bottom"/>
            <w:hideMark/>
          </w:tcPr>
          <w:p w14:paraId="0B76DE8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47.73%</w:t>
            </w:r>
          </w:p>
        </w:tc>
      </w:tr>
      <w:tr w:rsidR="00E947BA" w:rsidRPr="00A54B47" w14:paraId="184C02D2"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3FEA29DD"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Sweden</w:t>
            </w:r>
          </w:p>
        </w:tc>
        <w:tc>
          <w:tcPr>
            <w:tcW w:w="1191" w:type="dxa"/>
            <w:tcBorders>
              <w:top w:val="nil"/>
              <w:left w:val="nil"/>
              <w:bottom w:val="single" w:sz="4" w:space="0" w:color="auto"/>
              <w:right w:val="single" w:sz="4" w:space="0" w:color="auto"/>
            </w:tcBorders>
            <w:shd w:val="clear" w:color="auto" w:fill="auto"/>
            <w:noWrap/>
            <w:vAlign w:val="bottom"/>
            <w:hideMark/>
          </w:tcPr>
          <w:p w14:paraId="1554E83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0.1032</w:t>
            </w:r>
          </w:p>
        </w:tc>
        <w:tc>
          <w:tcPr>
            <w:tcW w:w="1688" w:type="dxa"/>
            <w:tcBorders>
              <w:top w:val="nil"/>
              <w:left w:val="nil"/>
              <w:bottom w:val="single" w:sz="4" w:space="0" w:color="auto"/>
              <w:right w:val="single" w:sz="4" w:space="0" w:color="auto"/>
            </w:tcBorders>
            <w:shd w:val="clear" w:color="auto" w:fill="auto"/>
            <w:noWrap/>
            <w:vAlign w:val="bottom"/>
            <w:hideMark/>
          </w:tcPr>
          <w:p w14:paraId="755D532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47.36%</w:t>
            </w:r>
          </w:p>
        </w:tc>
      </w:tr>
      <w:tr w:rsidR="00E947BA" w:rsidRPr="00A54B47" w14:paraId="41B2076F"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3714EB4F"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Croatia</w:t>
            </w:r>
          </w:p>
        </w:tc>
        <w:tc>
          <w:tcPr>
            <w:tcW w:w="1191" w:type="dxa"/>
            <w:tcBorders>
              <w:top w:val="nil"/>
              <w:left w:val="nil"/>
              <w:bottom w:val="single" w:sz="4" w:space="0" w:color="auto"/>
              <w:right w:val="single" w:sz="4" w:space="0" w:color="auto"/>
            </w:tcBorders>
            <w:shd w:val="clear" w:color="auto" w:fill="auto"/>
            <w:noWrap/>
            <w:vAlign w:val="bottom"/>
            <w:hideMark/>
          </w:tcPr>
          <w:p w14:paraId="3894184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0.1017</w:t>
            </w:r>
          </w:p>
        </w:tc>
        <w:tc>
          <w:tcPr>
            <w:tcW w:w="1688" w:type="dxa"/>
            <w:tcBorders>
              <w:top w:val="nil"/>
              <w:left w:val="nil"/>
              <w:bottom w:val="single" w:sz="4" w:space="0" w:color="auto"/>
              <w:right w:val="single" w:sz="4" w:space="0" w:color="auto"/>
            </w:tcBorders>
            <w:shd w:val="clear" w:color="auto" w:fill="auto"/>
            <w:noWrap/>
            <w:vAlign w:val="bottom"/>
            <w:hideMark/>
          </w:tcPr>
          <w:p w14:paraId="247543A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46.67%</w:t>
            </w:r>
          </w:p>
        </w:tc>
      </w:tr>
      <w:tr w:rsidR="00E947BA" w:rsidRPr="00A54B47" w14:paraId="4A167ECB"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65D4010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Latvia</w:t>
            </w:r>
          </w:p>
        </w:tc>
        <w:tc>
          <w:tcPr>
            <w:tcW w:w="1191" w:type="dxa"/>
            <w:tcBorders>
              <w:top w:val="nil"/>
              <w:left w:val="nil"/>
              <w:bottom w:val="single" w:sz="4" w:space="0" w:color="auto"/>
              <w:right w:val="single" w:sz="4" w:space="0" w:color="auto"/>
            </w:tcBorders>
            <w:shd w:val="clear" w:color="auto" w:fill="auto"/>
            <w:noWrap/>
            <w:vAlign w:val="bottom"/>
            <w:hideMark/>
          </w:tcPr>
          <w:p w14:paraId="1137F28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0.1005</w:t>
            </w:r>
          </w:p>
        </w:tc>
        <w:tc>
          <w:tcPr>
            <w:tcW w:w="1688" w:type="dxa"/>
            <w:tcBorders>
              <w:top w:val="nil"/>
              <w:left w:val="nil"/>
              <w:bottom w:val="single" w:sz="4" w:space="0" w:color="auto"/>
              <w:right w:val="single" w:sz="4" w:space="0" w:color="auto"/>
            </w:tcBorders>
            <w:shd w:val="clear" w:color="auto" w:fill="auto"/>
            <w:noWrap/>
            <w:vAlign w:val="bottom"/>
            <w:hideMark/>
          </w:tcPr>
          <w:p w14:paraId="2A6043D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46.12%</w:t>
            </w:r>
          </w:p>
        </w:tc>
      </w:tr>
      <w:tr w:rsidR="00E947BA" w:rsidRPr="00A54B47" w14:paraId="66855628"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5C0B11BA"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Lithuania</w:t>
            </w:r>
          </w:p>
        </w:tc>
        <w:tc>
          <w:tcPr>
            <w:tcW w:w="1191" w:type="dxa"/>
            <w:tcBorders>
              <w:top w:val="nil"/>
              <w:left w:val="nil"/>
              <w:bottom w:val="single" w:sz="4" w:space="0" w:color="auto"/>
              <w:right w:val="single" w:sz="4" w:space="0" w:color="auto"/>
            </w:tcBorders>
            <w:shd w:val="clear" w:color="auto" w:fill="auto"/>
            <w:noWrap/>
            <w:vAlign w:val="bottom"/>
            <w:hideMark/>
          </w:tcPr>
          <w:p w14:paraId="2FB4009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0.0972</w:t>
            </w:r>
          </w:p>
        </w:tc>
        <w:tc>
          <w:tcPr>
            <w:tcW w:w="1688" w:type="dxa"/>
            <w:tcBorders>
              <w:top w:val="nil"/>
              <w:left w:val="nil"/>
              <w:bottom w:val="single" w:sz="4" w:space="0" w:color="auto"/>
              <w:right w:val="single" w:sz="4" w:space="0" w:color="auto"/>
            </w:tcBorders>
            <w:shd w:val="clear" w:color="auto" w:fill="auto"/>
            <w:noWrap/>
            <w:vAlign w:val="bottom"/>
            <w:hideMark/>
          </w:tcPr>
          <w:p w14:paraId="27864EAF"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44.61%</w:t>
            </w:r>
          </w:p>
        </w:tc>
      </w:tr>
      <w:tr w:rsidR="00E947BA" w:rsidRPr="00A54B47" w14:paraId="2B70CE68"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24471A6B"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Estonia</w:t>
            </w:r>
          </w:p>
        </w:tc>
        <w:tc>
          <w:tcPr>
            <w:tcW w:w="1191" w:type="dxa"/>
            <w:tcBorders>
              <w:top w:val="nil"/>
              <w:left w:val="nil"/>
              <w:bottom w:val="single" w:sz="4" w:space="0" w:color="auto"/>
              <w:right w:val="single" w:sz="4" w:space="0" w:color="auto"/>
            </w:tcBorders>
            <w:shd w:val="clear" w:color="auto" w:fill="auto"/>
            <w:noWrap/>
            <w:vAlign w:val="bottom"/>
            <w:hideMark/>
          </w:tcPr>
          <w:p w14:paraId="56CD453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0.0953</w:t>
            </w:r>
          </w:p>
        </w:tc>
        <w:tc>
          <w:tcPr>
            <w:tcW w:w="1688" w:type="dxa"/>
            <w:tcBorders>
              <w:top w:val="nil"/>
              <w:left w:val="nil"/>
              <w:bottom w:val="single" w:sz="4" w:space="0" w:color="auto"/>
              <w:right w:val="single" w:sz="4" w:space="0" w:color="auto"/>
            </w:tcBorders>
            <w:shd w:val="clear" w:color="auto" w:fill="auto"/>
            <w:noWrap/>
            <w:vAlign w:val="bottom"/>
            <w:hideMark/>
          </w:tcPr>
          <w:p w14:paraId="1BE4969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43.74%</w:t>
            </w:r>
          </w:p>
        </w:tc>
      </w:tr>
      <w:tr w:rsidR="00E947BA" w:rsidRPr="00A54B47" w14:paraId="7F7ACE0B"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21AB392F"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Poland</w:t>
            </w:r>
          </w:p>
        </w:tc>
        <w:tc>
          <w:tcPr>
            <w:tcW w:w="1191" w:type="dxa"/>
            <w:tcBorders>
              <w:top w:val="nil"/>
              <w:left w:val="nil"/>
              <w:bottom w:val="single" w:sz="4" w:space="0" w:color="auto"/>
              <w:right w:val="single" w:sz="4" w:space="0" w:color="auto"/>
            </w:tcBorders>
            <w:shd w:val="clear" w:color="auto" w:fill="auto"/>
            <w:noWrap/>
            <w:vAlign w:val="bottom"/>
            <w:hideMark/>
          </w:tcPr>
          <w:p w14:paraId="40BD8BE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0.0953</w:t>
            </w:r>
          </w:p>
        </w:tc>
        <w:tc>
          <w:tcPr>
            <w:tcW w:w="1688" w:type="dxa"/>
            <w:tcBorders>
              <w:top w:val="nil"/>
              <w:left w:val="nil"/>
              <w:bottom w:val="single" w:sz="4" w:space="0" w:color="auto"/>
              <w:right w:val="single" w:sz="4" w:space="0" w:color="auto"/>
            </w:tcBorders>
            <w:shd w:val="clear" w:color="auto" w:fill="auto"/>
            <w:noWrap/>
            <w:vAlign w:val="bottom"/>
            <w:hideMark/>
          </w:tcPr>
          <w:p w14:paraId="42ACEFD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43.74%</w:t>
            </w:r>
          </w:p>
        </w:tc>
      </w:tr>
      <w:tr w:rsidR="00E947BA" w:rsidRPr="00A54B47" w14:paraId="00153D1C"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253F7741"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lastRenderedPageBreak/>
              <w:t>Denmark</w:t>
            </w:r>
          </w:p>
        </w:tc>
        <w:tc>
          <w:tcPr>
            <w:tcW w:w="1191" w:type="dxa"/>
            <w:tcBorders>
              <w:top w:val="nil"/>
              <w:left w:val="nil"/>
              <w:bottom w:val="single" w:sz="4" w:space="0" w:color="auto"/>
              <w:right w:val="single" w:sz="4" w:space="0" w:color="auto"/>
            </w:tcBorders>
            <w:shd w:val="clear" w:color="auto" w:fill="auto"/>
            <w:noWrap/>
            <w:vAlign w:val="bottom"/>
            <w:hideMark/>
          </w:tcPr>
          <w:p w14:paraId="0ECECAD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0.0908</w:t>
            </w:r>
          </w:p>
        </w:tc>
        <w:tc>
          <w:tcPr>
            <w:tcW w:w="1688" w:type="dxa"/>
            <w:tcBorders>
              <w:top w:val="nil"/>
              <w:left w:val="nil"/>
              <w:bottom w:val="single" w:sz="4" w:space="0" w:color="auto"/>
              <w:right w:val="single" w:sz="4" w:space="0" w:color="auto"/>
            </w:tcBorders>
            <w:shd w:val="clear" w:color="auto" w:fill="auto"/>
            <w:noWrap/>
            <w:vAlign w:val="bottom"/>
            <w:hideMark/>
          </w:tcPr>
          <w:p w14:paraId="2E474B0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41.67%</w:t>
            </w:r>
          </w:p>
        </w:tc>
      </w:tr>
      <w:tr w:rsidR="00E947BA" w:rsidRPr="00A54B47" w14:paraId="670E6E48"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49D6032F"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Bulgaria</w:t>
            </w:r>
          </w:p>
        </w:tc>
        <w:tc>
          <w:tcPr>
            <w:tcW w:w="1191" w:type="dxa"/>
            <w:tcBorders>
              <w:top w:val="nil"/>
              <w:left w:val="nil"/>
              <w:bottom w:val="single" w:sz="4" w:space="0" w:color="auto"/>
              <w:right w:val="single" w:sz="4" w:space="0" w:color="auto"/>
            </w:tcBorders>
            <w:shd w:val="clear" w:color="auto" w:fill="auto"/>
            <w:noWrap/>
            <w:vAlign w:val="bottom"/>
            <w:hideMark/>
          </w:tcPr>
          <w:p w14:paraId="3244FBC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0.0818</w:t>
            </w:r>
          </w:p>
        </w:tc>
        <w:tc>
          <w:tcPr>
            <w:tcW w:w="1688" w:type="dxa"/>
            <w:tcBorders>
              <w:top w:val="nil"/>
              <w:left w:val="nil"/>
              <w:bottom w:val="single" w:sz="4" w:space="0" w:color="auto"/>
              <w:right w:val="single" w:sz="4" w:space="0" w:color="auto"/>
            </w:tcBorders>
            <w:shd w:val="clear" w:color="auto" w:fill="auto"/>
            <w:noWrap/>
            <w:vAlign w:val="bottom"/>
            <w:hideMark/>
          </w:tcPr>
          <w:p w14:paraId="1B7B5F9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37.54%</w:t>
            </w:r>
          </w:p>
        </w:tc>
      </w:tr>
      <w:tr w:rsidR="00E947BA" w:rsidRPr="00A54B47" w14:paraId="7C59D2C2" w14:textId="77777777" w:rsidTr="00E947BA">
        <w:trPr>
          <w:trHeight w:val="285"/>
        </w:trPr>
        <w:tc>
          <w:tcPr>
            <w:tcW w:w="1706" w:type="dxa"/>
            <w:tcBorders>
              <w:top w:val="nil"/>
              <w:left w:val="single" w:sz="4" w:space="0" w:color="auto"/>
              <w:bottom w:val="single" w:sz="4" w:space="0" w:color="auto"/>
              <w:right w:val="single" w:sz="4" w:space="0" w:color="auto"/>
            </w:tcBorders>
            <w:shd w:val="clear" w:color="000000" w:fill="99CCFF"/>
            <w:noWrap/>
            <w:vAlign w:val="bottom"/>
            <w:hideMark/>
          </w:tcPr>
          <w:p w14:paraId="2FA99EDE"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Hungary</w:t>
            </w:r>
          </w:p>
        </w:tc>
        <w:tc>
          <w:tcPr>
            <w:tcW w:w="1191" w:type="dxa"/>
            <w:tcBorders>
              <w:top w:val="nil"/>
              <w:left w:val="nil"/>
              <w:bottom w:val="single" w:sz="4" w:space="0" w:color="auto"/>
              <w:right w:val="single" w:sz="4" w:space="0" w:color="auto"/>
            </w:tcBorders>
            <w:shd w:val="clear" w:color="auto" w:fill="auto"/>
            <w:noWrap/>
            <w:vAlign w:val="bottom"/>
            <w:hideMark/>
          </w:tcPr>
          <w:p w14:paraId="194074E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0.0794</w:t>
            </w:r>
          </w:p>
        </w:tc>
        <w:tc>
          <w:tcPr>
            <w:tcW w:w="1688" w:type="dxa"/>
            <w:tcBorders>
              <w:top w:val="nil"/>
              <w:left w:val="nil"/>
              <w:bottom w:val="single" w:sz="4" w:space="0" w:color="auto"/>
              <w:right w:val="single" w:sz="4" w:space="0" w:color="auto"/>
            </w:tcBorders>
            <w:shd w:val="clear" w:color="auto" w:fill="auto"/>
            <w:noWrap/>
            <w:vAlign w:val="bottom"/>
            <w:hideMark/>
          </w:tcPr>
          <w:p w14:paraId="58D19BF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36.44%</w:t>
            </w:r>
          </w:p>
        </w:tc>
      </w:tr>
    </w:tbl>
    <w:p w14:paraId="1CF74FDE" w14:textId="77777777" w:rsidR="00E947BA" w:rsidRDefault="00E947BA" w:rsidP="00E947BA"/>
    <w:tbl>
      <w:tblPr>
        <w:tblW w:w="4500" w:type="dxa"/>
        <w:tblCellMar>
          <w:left w:w="70" w:type="dxa"/>
          <w:right w:w="70" w:type="dxa"/>
        </w:tblCellMar>
        <w:tblLook w:val="04A0" w:firstRow="1" w:lastRow="0" w:firstColumn="1" w:lastColumn="0" w:noHBand="0" w:noVBand="1"/>
      </w:tblPr>
      <w:tblGrid>
        <w:gridCol w:w="1652"/>
        <w:gridCol w:w="1335"/>
        <w:gridCol w:w="1513"/>
      </w:tblGrid>
      <w:tr w:rsidR="00E947BA" w:rsidRPr="00A54B47" w14:paraId="16420C31" w14:textId="77777777" w:rsidTr="00C066F9">
        <w:trPr>
          <w:trHeight w:val="285"/>
        </w:trPr>
        <w:tc>
          <w:tcPr>
            <w:tcW w:w="4500" w:type="dxa"/>
            <w:gridSpan w:val="3"/>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6BFC6FF" w14:textId="77777777" w:rsidR="00E947BA" w:rsidRPr="00A54B47" w:rsidRDefault="00E947BA" w:rsidP="00C066F9">
            <w:pPr>
              <w:spacing w:line="240" w:lineRule="auto"/>
              <w:jc w:val="center"/>
              <w:rPr>
                <w:rFonts w:ascii="Arial" w:hAnsi="Arial" w:cs="Arial"/>
                <w:i/>
                <w:iCs/>
                <w:sz w:val="20"/>
                <w:szCs w:val="20"/>
                <w:lang w:eastAsia="hu-HU"/>
              </w:rPr>
            </w:pPr>
            <w:r w:rsidRPr="00A54B47">
              <w:rPr>
                <w:rFonts w:ascii="Arial" w:hAnsi="Arial" w:cs="Arial"/>
                <w:i/>
                <w:iCs/>
                <w:sz w:val="20"/>
                <w:szCs w:val="20"/>
                <w:lang w:eastAsia="hu-HU"/>
              </w:rPr>
              <w:t>Final energy consumption in households - power</w:t>
            </w:r>
          </w:p>
        </w:tc>
      </w:tr>
      <w:tr w:rsidR="00E947BA" w:rsidRPr="00A54B47" w14:paraId="12D21AD4" w14:textId="77777777" w:rsidTr="00C066F9">
        <w:trPr>
          <w:trHeight w:val="300"/>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7EDA6852"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member state</w:t>
            </w:r>
          </w:p>
        </w:tc>
        <w:tc>
          <w:tcPr>
            <w:tcW w:w="1335" w:type="dxa"/>
            <w:tcBorders>
              <w:top w:val="nil"/>
              <w:left w:val="nil"/>
              <w:bottom w:val="single" w:sz="4" w:space="0" w:color="auto"/>
              <w:right w:val="single" w:sz="4" w:space="0" w:color="auto"/>
            </w:tcBorders>
            <w:shd w:val="clear" w:color="000000" w:fill="99CCFF"/>
            <w:noWrap/>
            <w:vAlign w:val="bottom"/>
            <w:hideMark/>
          </w:tcPr>
          <w:p w14:paraId="1BE11EA8"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power/cap.</w:t>
            </w:r>
          </w:p>
        </w:tc>
        <w:tc>
          <w:tcPr>
            <w:tcW w:w="1513" w:type="dxa"/>
            <w:tcBorders>
              <w:top w:val="nil"/>
              <w:left w:val="nil"/>
              <w:bottom w:val="single" w:sz="4" w:space="0" w:color="auto"/>
              <w:right w:val="single" w:sz="4" w:space="0" w:color="auto"/>
            </w:tcBorders>
            <w:shd w:val="clear" w:color="000000" w:fill="99CCFF"/>
            <w:noWrap/>
            <w:vAlign w:val="bottom"/>
            <w:hideMark/>
          </w:tcPr>
          <w:p w14:paraId="2661D917" w14:textId="77777777" w:rsidR="00E947BA" w:rsidRPr="00A54B47" w:rsidRDefault="00E947BA" w:rsidP="00C066F9">
            <w:pPr>
              <w:spacing w:line="240" w:lineRule="auto"/>
              <w:jc w:val="center"/>
              <w:rPr>
                <w:rFonts w:ascii="Arial" w:hAnsi="Arial" w:cs="Arial"/>
                <w:b/>
                <w:bCs/>
                <w:lang w:eastAsia="hu-HU"/>
              </w:rPr>
            </w:pPr>
            <w:r w:rsidRPr="00A54B47">
              <w:rPr>
                <w:rFonts w:ascii="Arial" w:hAnsi="Arial" w:cs="Arial"/>
                <w:b/>
                <w:bCs/>
                <w:lang w:eastAsia="hu-HU"/>
              </w:rPr>
              <w:t xml:space="preserve">% </w:t>
            </w:r>
            <w:proofErr w:type="gramStart"/>
            <w:r w:rsidRPr="00A54B47">
              <w:rPr>
                <w:rFonts w:ascii="Arial" w:hAnsi="Arial" w:cs="Arial"/>
                <w:b/>
                <w:bCs/>
                <w:lang w:eastAsia="hu-HU"/>
              </w:rPr>
              <w:t>of</w:t>
            </w:r>
            <w:proofErr w:type="gramEnd"/>
            <w:r w:rsidRPr="00A54B47">
              <w:rPr>
                <w:rFonts w:ascii="Arial" w:hAnsi="Arial" w:cs="Arial"/>
                <w:b/>
                <w:bCs/>
                <w:lang w:eastAsia="hu-HU"/>
              </w:rPr>
              <w:t xml:space="preserve"> highest</w:t>
            </w:r>
          </w:p>
        </w:tc>
      </w:tr>
      <w:tr w:rsidR="00E947BA" w:rsidRPr="00A54B47" w14:paraId="45150427"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215BF7D5"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Sweden</w:t>
            </w:r>
          </w:p>
        </w:tc>
        <w:tc>
          <w:tcPr>
            <w:tcW w:w="1335" w:type="dxa"/>
            <w:tcBorders>
              <w:top w:val="nil"/>
              <w:left w:val="nil"/>
              <w:bottom w:val="single" w:sz="4" w:space="0" w:color="auto"/>
              <w:right w:val="single" w:sz="4" w:space="0" w:color="auto"/>
            </w:tcBorders>
            <w:shd w:val="clear" w:color="auto" w:fill="auto"/>
            <w:noWrap/>
            <w:vAlign w:val="bottom"/>
            <w:hideMark/>
          </w:tcPr>
          <w:p w14:paraId="603F5E6C"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0.0155</w:t>
            </w:r>
          </w:p>
        </w:tc>
        <w:tc>
          <w:tcPr>
            <w:tcW w:w="1513" w:type="dxa"/>
            <w:tcBorders>
              <w:top w:val="nil"/>
              <w:left w:val="nil"/>
              <w:bottom w:val="single" w:sz="4" w:space="0" w:color="auto"/>
              <w:right w:val="single" w:sz="4" w:space="0" w:color="auto"/>
            </w:tcBorders>
            <w:shd w:val="clear" w:color="auto" w:fill="auto"/>
            <w:noWrap/>
            <w:vAlign w:val="bottom"/>
            <w:hideMark/>
          </w:tcPr>
          <w:p w14:paraId="7A16505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100.00%</w:t>
            </w:r>
          </w:p>
        </w:tc>
      </w:tr>
      <w:tr w:rsidR="00E947BA" w:rsidRPr="00A54B47" w14:paraId="1856288A"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524D3165"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Finland</w:t>
            </w:r>
          </w:p>
        </w:tc>
        <w:tc>
          <w:tcPr>
            <w:tcW w:w="1335" w:type="dxa"/>
            <w:tcBorders>
              <w:top w:val="nil"/>
              <w:left w:val="nil"/>
              <w:bottom w:val="single" w:sz="4" w:space="0" w:color="auto"/>
              <w:right w:val="single" w:sz="4" w:space="0" w:color="auto"/>
            </w:tcBorders>
            <w:shd w:val="clear" w:color="auto" w:fill="auto"/>
            <w:noWrap/>
            <w:vAlign w:val="bottom"/>
            <w:hideMark/>
          </w:tcPr>
          <w:p w14:paraId="766CD8B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0.0147</w:t>
            </w:r>
          </w:p>
        </w:tc>
        <w:tc>
          <w:tcPr>
            <w:tcW w:w="1513" w:type="dxa"/>
            <w:tcBorders>
              <w:top w:val="nil"/>
              <w:left w:val="nil"/>
              <w:bottom w:val="single" w:sz="4" w:space="0" w:color="auto"/>
              <w:right w:val="single" w:sz="4" w:space="0" w:color="auto"/>
            </w:tcBorders>
            <w:shd w:val="clear" w:color="auto" w:fill="auto"/>
            <w:noWrap/>
            <w:vAlign w:val="bottom"/>
            <w:hideMark/>
          </w:tcPr>
          <w:p w14:paraId="48C3BDD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94.75%</w:t>
            </w:r>
          </w:p>
        </w:tc>
      </w:tr>
      <w:tr w:rsidR="00E947BA" w:rsidRPr="00A54B47" w14:paraId="53EE6D66"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3C5DE44A"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France</w:t>
            </w:r>
          </w:p>
        </w:tc>
        <w:tc>
          <w:tcPr>
            <w:tcW w:w="1335" w:type="dxa"/>
            <w:tcBorders>
              <w:top w:val="nil"/>
              <w:left w:val="nil"/>
              <w:bottom w:val="single" w:sz="4" w:space="0" w:color="auto"/>
              <w:right w:val="single" w:sz="4" w:space="0" w:color="auto"/>
            </w:tcBorders>
            <w:shd w:val="clear" w:color="auto" w:fill="auto"/>
            <w:noWrap/>
            <w:vAlign w:val="bottom"/>
            <w:hideMark/>
          </w:tcPr>
          <w:p w14:paraId="790BC086"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0.0086</w:t>
            </w:r>
          </w:p>
        </w:tc>
        <w:tc>
          <w:tcPr>
            <w:tcW w:w="1513" w:type="dxa"/>
            <w:tcBorders>
              <w:top w:val="nil"/>
              <w:left w:val="nil"/>
              <w:bottom w:val="single" w:sz="4" w:space="0" w:color="auto"/>
              <w:right w:val="single" w:sz="4" w:space="0" w:color="auto"/>
            </w:tcBorders>
            <w:shd w:val="clear" w:color="auto" w:fill="auto"/>
            <w:noWrap/>
            <w:vAlign w:val="bottom"/>
            <w:hideMark/>
          </w:tcPr>
          <w:p w14:paraId="52E5C61F"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55.13%</w:t>
            </w:r>
          </w:p>
        </w:tc>
      </w:tr>
      <w:tr w:rsidR="00E947BA" w:rsidRPr="00A54B47" w14:paraId="4EA71445"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7CE7CF99"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Austria</w:t>
            </w:r>
          </w:p>
        </w:tc>
        <w:tc>
          <w:tcPr>
            <w:tcW w:w="1335" w:type="dxa"/>
            <w:tcBorders>
              <w:top w:val="nil"/>
              <w:left w:val="nil"/>
              <w:bottom w:val="single" w:sz="4" w:space="0" w:color="auto"/>
              <w:right w:val="single" w:sz="4" w:space="0" w:color="auto"/>
            </w:tcBorders>
            <w:shd w:val="clear" w:color="auto" w:fill="auto"/>
            <w:noWrap/>
            <w:vAlign w:val="bottom"/>
            <w:hideMark/>
          </w:tcPr>
          <w:p w14:paraId="64140FD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0.0075</w:t>
            </w:r>
          </w:p>
        </w:tc>
        <w:tc>
          <w:tcPr>
            <w:tcW w:w="1513" w:type="dxa"/>
            <w:tcBorders>
              <w:top w:val="nil"/>
              <w:left w:val="nil"/>
              <w:bottom w:val="single" w:sz="4" w:space="0" w:color="auto"/>
              <w:right w:val="single" w:sz="4" w:space="0" w:color="auto"/>
            </w:tcBorders>
            <w:shd w:val="clear" w:color="auto" w:fill="auto"/>
            <w:noWrap/>
            <w:vAlign w:val="bottom"/>
            <w:hideMark/>
          </w:tcPr>
          <w:p w14:paraId="70B0EDF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48.12%</w:t>
            </w:r>
          </w:p>
        </w:tc>
      </w:tr>
      <w:tr w:rsidR="00E947BA" w:rsidRPr="00A54B47" w14:paraId="20F4EBB1"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7AC18397"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Cyprus</w:t>
            </w:r>
          </w:p>
        </w:tc>
        <w:tc>
          <w:tcPr>
            <w:tcW w:w="1335" w:type="dxa"/>
            <w:tcBorders>
              <w:top w:val="nil"/>
              <w:left w:val="nil"/>
              <w:bottom w:val="single" w:sz="4" w:space="0" w:color="auto"/>
              <w:right w:val="single" w:sz="4" w:space="0" w:color="auto"/>
            </w:tcBorders>
            <w:shd w:val="clear" w:color="auto" w:fill="auto"/>
            <w:noWrap/>
            <w:vAlign w:val="bottom"/>
            <w:hideMark/>
          </w:tcPr>
          <w:p w14:paraId="6CE2209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0.0073</w:t>
            </w:r>
          </w:p>
        </w:tc>
        <w:tc>
          <w:tcPr>
            <w:tcW w:w="1513" w:type="dxa"/>
            <w:tcBorders>
              <w:top w:val="nil"/>
              <w:left w:val="nil"/>
              <w:bottom w:val="single" w:sz="4" w:space="0" w:color="auto"/>
              <w:right w:val="single" w:sz="4" w:space="0" w:color="auto"/>
            </w:tcBorders>
            <w:shd w:val="clear" w:color="auto" w:fill="auto"/>
            <w:noWrap/>
            <w:vAlign w:val="bottom"/>
            <w:hideMark/>
          </w:tcPr>
          <w:p w14:paraId="3A09B1C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46.85%</w:t>
            </w:r>
          </w:p>
        </w:tc>
      </w:tr>
      <w:tr w:rsidR="00E947BA" w:rsidRPr="00A54B47" w14:paraId="4A52FE6B"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6F02B01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Denmark</w:t>
            </w:r>
          </w:p>
        </w:tc>
        <w:tc>
          <w:tcPr>
            <w:tcW w:w="1335" w:type="dxa"/>
            <w:tcBorders>
              <w:top w:val="nil"/>
              <w:left w:val="nil"/>
              <w:bottom w:val="single" w:sz="4" w:space="0" w:color="auto"/>
              <w:right w:val="single" w:sz="4" w:space="0" w:color="auto"/>
            </w:tcBorders>
            <w:shd w:val="clear" w:color="auto" w:fill="auto"/>
            <w:noWrap/>
            <w:vAlign w:val="bottom"/>
            <w:hideMark/>
          </w:tcPr>
          <w:p w14:paraId="5529D3B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0.0063</w:t>
            </w:r>
          </w:p>
        </w:tc>
        <w:tc>
          <w:tcPr>
            <w:tcW w:w="1513" w:type="dxa"/>
            <w:tcBorders>
              <w:top w:val="nil"/>
              <w:left w:val="nil"/>
              <w:bottom w:val="single" w:sz="4" w:space="0" w:color="auto"/>
              <w:right w:val="single" w:sz="4" w:space="0" w:color="auto"/>
            </w:tcBorders>
            <w:shd w:val="clear" w:color="auto" w:fill="auto"/>
            <w:noWrap/>
            <w:vAlign w:val="bottom"/>
            <w:hideMark/>
          </w:tcPr>
          <w:p w14:paraId="40AD103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40.89%</w:t>
            </w:r>
          </w:p>
        </w:tc>
      </w:tr>
      <w:tr w:rsidR="00E947BA" w:rsidRPr="00A54B47" w14:paraId="7D433476"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6CF727CF"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Malta</w:t>
            </w:r>
          </w:p>
        </w:tc>
        <w:tc>
          <w:tcPr>
            <w:tcW w:w="1335" w:type="dxa"/>
            <w:tcBorders>
              <w:top w:val="nil"/>
              <w:left w:val="nil"/>
              <w:bottom w:val="single" w:sz="4" w:space="0" w:color="auto"/>
              <w:right w:val="single" w:sz="4" w:space="0" w:color="auto"/>
            </w:tcBorders>
            <w:shd w:val="clear" w:color="auto" w:fill="auto"/>
            <w:noWrap/>
            <w:vAlign w:val="bottom"/>
            <w:hideMark/>
          </w:tcPr>
          <w:p w14:paraId="60BF215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0.0061</w:t>
            </w:r>
          </w:p>
        </w:tc>
        <w:tc>
          <w:tcPr>
            <w:tcW w:w="1513" w:type="dxa"/>
            <w:tcBorders>
              <w:top w:val="nil"/>
              <w:left w:val="nil"/>
              <w:bottom w:val="single" w:sz="4" w:space="0" w:color="auto"/>
              <w:right w:val="single" w:sz="4" w:space="0" w:color="auto"/>
            </w:tcBorders>
            <w:shd w:val="clear" w:color="auto" w:fill="auto"/>
            <w:noWrap/>
            <w:vAlign w:val="bottom"/>
            <w:hideMark/>
          </w:tcPr>
          <w:p w14:paraId="1F6EEB3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39.03%</w:t>
            </w:r>
          </w:p>
        </w:tc>
      </w:tr>
      <w:tr w:rsidR="00E947BA" w:rsidRPr="00A54B47" w14:paraId="0B1D82F7"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164080A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Ireland</w:t>
            </w:r>
          </w:p>
        </w:tc>
        <w:tc>
          <w:tcPr>
            <w:tcW w:w="1335" w:type="dxa"/>
            <w:tcBorders>
              <w:top w:val="nil"/>
              <w:left w:val="nil"/>
              <w:bottom w:val="single" w:sz="4" w:space="0" w:color="auto"/>
              <w:right w:val="single" w:sz="4" w:space="0" w:color="auto"/>
            </w:tcBorders>
            <w:shd w:val="clear" w:color="auto" w:fill="auto"/>
            <w:noWrap/>
            <w:vAlign w:val="bottom"/>
            <w:hideMark/>
          </w:tcPr>
          <w:p w14:paraId="4393CB1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0.0060</w:t>
            </w:r>
          </w:p>
        </w:tc>
        <w:tc>
          <w:tcPr>
            <w:tcW w:w="1513" w:type="dxa"/>
            <w:tcBorders>
              <w:top w:val="nil"/>
              <w:left w:val="nil"/>
              <w:bottom w:val="single" w:sz="4" w:space="0" w:color="auto"/>
              <w:right w:val="single" w:sz="4" w:space="0" w:color="auto"/>
            </w:tcBorders>
            <w:shd w:val="clear" w:color="auto" w:fill="auto"/>
            <w:noWrap/>
            <w:vAlign w:val="bottom"/>
            <w:hideMark/>
          </w:tcPr>
          <w:p w14:paraId="17E36EC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38.46%</w:t>
            </w:r>
          </w:p>
        </w:tc>
      </w:tr>
      <w:tr w:rsidR="00E947BA" w:rsidRPr="00A54B47" w14:paraId="5FA360F4"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0635F9D4"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Slovenia</w:t>
            </w:r>
          </w:p>
        </w:tc>
        <w:tc>
          <w:tcPr>
            <w:tcW w:w="1335" w:type="dxa"/>
            <w:tcBorders>
              <w:top w:val="nil"/>
              <w:left w:val="nil"/>
              <w:bottom w:val="single" w:sz="4" w:space="0" w:color="auto"/>
              <w:right w:val="single" w:sz="4" w:space="0" w:color="auto"/>
            </w:tcBorders>
            <w:shd w:val="clear" w:color="auto" w:fill="auto"/>
            <w:noWrap/>
            <w:vAlign w:val="bottom"/>
            <w:hideMark/>
          </w:tcPr>
          <w:p w14:paraId="5FBDE10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0.0059</w:t>
            </w:r>
          </w:p>
        </w:tc>
        <w:tc>
          <w:tcPr>
            <w:tcW w:w="1513" w:type="dxa"/>
            <w:tcBorders>
              <w:top w:val="nil"/>
              <w:left w:val="nil"/>
              <w:bottom w:val="single" w:sz="4" w:space="0" w:color="auto"/>
              <w:right w:val="single" w:sz="4" w:space="0" w:color="auto"/>
            </w:tcBorders>
            <w:shd w:val="clear" w:color="auto" w:fill="auto"/>
            <w:noWrap/>
            <w:vAlign w:val="bottom"/>
            <w:hideMark/>
          </w:tcPr>
          <w:p w14:paraId="126FA1EB"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38.10%</w:t>
            </w:r>
          </w:p>
        </w:tc>
      </w:tr>
      <w:tr w:rsidR="00E947BA" w:rsidRPr="00A54B47" w14:paraId="5156FFE9"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19CB4D6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Greece</w:t>
            </w:r>
          </w:p>
        </w:tc>
        <w:tc>
          <w:tcPr>
            <w:tcW w:w="1335" w:type="dxa"/>
            <w:tcBorders>
              <w:top w:val="nil"/>
              <w:left w:val="nil"/>
              <w:bottom w:val="single" w:sz="4" w:space="0" w:color="auto"/>
              <w:right w:val="single" w:sz="4" w:space="0" w:color="auto"/>
            </w:tcBorders>
            <w:shd w:val="clear" w:color="auto" w:fill="auto"/>
            <w:noWrap/>
            <w:vAlign w:val="bottom"/>
            <w:hideMark/>
          </w:tcPr>
          <w:p w14:paraId="27653D5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0.0058</w:t>
            </w:r>
          </w:p>
        </w:tc>
        <w:tc>
          <w:tcPr>
            <w:tcW w:w="1513" w:type="dxa"/>
            <w:tcBorders>
              <w:top w:val="nil"/>
              <w:left w:val="nil"/>
              <w:bottom w:val="single" w:sz="4" w:space="0" w:color="auto"/>
              <w:right w:val="single" w:sz="4" w:space="0" w:color="auto"/>
            </w:tcBorders>
            <w:shd w:val="clear" w:color="auto" w:fill="auto"/>
            <w:noWrap/>
            <w:vAlign w:val="bottom"/>
            <w:hideMark/>
          </w:tcPr>
          <w:p w14:paraId="71EDF82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37.58%</w:t>
            </w:r>
          </w:p>
        </w:tc>
      </w:tr>
      <w:tr w:rsidR="00E947BA" w:rsidRPr="00A54B47" w14:paraId="16C8E6C7"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11A46996"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Belgium</w:t>
            </w:r>
          </w:p>
        </w:tc>
        <w:tc>
          <w:tcPr>
            <w:tcW w:w="1335" w:type="dxa"/>
            <w:tcBorders>
              <w:top w:val="nil"/>
              <w:left w:val="nil"/>
              <w:bottom w:val="single" w:sz="4" w:space="0" w:color="auto"/>
              <w:right w:val="single" w:sz="4" w:space="0" w:color="auto"/>
            </w:tcBorders>
            <w:shd w:val="clear" w:color="auto" w:fill="auto"/>
            <w:noWrap/>
            <w:vAlign w:val="bottom"/>
            <w:hideMark/>
          </w:tcPr>
          <w:p w14:paraId="6B734E1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0.0058</w:t>
            </w:r>
          </w:p>
        </w:tc>
        <w:tc>
          <w:tcPr>
            <w:tcW w:w="1513" w:type="dxa"/>
            <w:tcBorders>
              <w:top w:val="nil"/>
              <w:left w:val="nil"/>
              <w:bottom w:val="single" w:sz="4" w:space="0" w:color="auto"/>
              <w:right w:val="single" w:sz="4" w:space="0" w:color="auto"/>
            </w:tcBorders>
            <w:shd w:val="clear" w:color="auto" w:fill="auto"/>
            <w:noWrap/>
            <w:vAlign w:val="bottom"/>
            <w:hideMark/>
          </w:tcPr>
          <w:p w14:paraId="4187EE2C"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37.31%</w:t>
            </w:r>
          </w:p>
        </w:tc>
      </w:tr>
      <w:tr w:rsidR="00E947BA" w:rsidRPr="00A54B47" w14:paraId="5EB3AFCB"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344A1D23"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Estonia</w:t>
            </w:r>
          </w:p>
        </w:tc>
        <w:tc>
          <w:tcPr>
            <w:tcW w:w="1335" w:type="dxa"/>
            <w:tcBorders>
              <w:top w:val="nil"/>
              <w:left w:val="nil"/>
              <w:bottom w:val="single" w:sz="4" w:space="0" w:color="auto"/>
              <w:right w:val="single" w:sz="4" w:space="0" w:color="auto"/>
            </w:tcBorders>
            <w:shd w:val="clear" w:color="auto" w:fill="auto"/>
            <w:noWrap/>
            <w:vAlign w:val="bottom"/>
            <w:hideMark/>
          </w:tcPr>
          <w:p w14:paraId="1A4C8E1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0.0056</w:t>
            </w:r>
          </w:p>
        </w:tc>
        <w:tc>
          <w:tcPr>
            <w:tcW w:w="1513" w:type="dxa"/>
            <w:tcBorders>
              <w:top w:val="nil"/>
              <w:left w:val="nil"/>
              <w:bottom w:val="single" w:sz="4" w:space="0" w:color="auto"/>
              <w:right w:val="single" w:sz="4" w:space="0" w:color="auto"/>
            </w:tcBorders>
            <w:shd w:val="clear" w:color="auto" w:fill="auto"/>
            <w:noWrap/>
            <w:vAlign w:val="bottom"/>
            <w:hideMark/>
          </w:tcPr>
          <w:p w14:paraId="05F337E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36.23%</w:t>
            </w:r>
          </w:p>
        </w:tc>
      </w:tr>
      <w:tr w:rsidR="00E947BA" w:rsidRPr="00A54B47" w14:paraId="1645071B"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2E6BDEA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Spain</w:t>
            </w:r>
          </w:p>
        </w:tc>
        <w:tc>
          <w:tcPr>
            <w:tcW w:w="1335" w:type="dxa"/>
            <w:tcBorders>
              <w:top w:val="nil"/>
              <w:left w:val="nil"/>
              <w:bottom w:val="single" w:sz="4" w:space="0" w:color="auto"/>
              <w:right w:val="single" w:sz="4" w:space="0" w:color="auto"/>
            </w:tcBorders>
            <w:shd w:val="clear" w:color="auto" w:fill="auto"/>
            <w:noWrap/>
            <w:vAlign w:val="bottom"/>
            <w:hideMark/>
          </w:tcPr>
          <w:p w14:paraId="7B4999AF"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0.0056</w:t>
            </w:r>
          </w:p>
        </w:tc>
        <w:tc>
          <w:tcPr>
            <w:tcW w:w="1513" w:type="dxa"/>
            <w:tcBorders>
              <w:top w:val="nil"/>
              <w:left w:val="nil"/>
              <w:bottom w:val="single" w:sz="4" w:space="0" w:color="auto"/>
              <w:right w:val="single" w:sz="4" w:space="0" w:color="auto"/>
            </w:tcBorders>
            <w:shd w:val="clear" w:color="auto" w:fill="auto"/>
            <w:noWrap/>
            <w:vAlign w:val="bottom"/>
            <w:hideMark/>
          </w:tcPr>
          <w:p w14:paraId="5199D9C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36.06%</w:t>
            </w:r>
          </w:p>
        </w:tc>
      </w:tr>
      <w:tr w:rsidR="00E947BA" w:rsidRPr="00A54B47" w14:paraId="0ED98118"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712E5FC9"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Bulgaria</w:t>
            </w:r>
          </w:p>
        </w:tc>
        <w:tc>
          <w:tcPr>
            <w:tcW w:w="1335" w:type="dxa"/>
            <w:tcBorders>
              <w:top w:val="nil"/>
              <w:left w:val="nil"/>
              <w:bottom w:val="single" w:sz="4" w:space="0" w:color="auto"/>
              <w:right w:val="single" w:sz="4" w:space="0" w:color="auto"/>
            </w:tcBorders>
            <w:shd w:val="clear" w:color="auto" w:fill="auto"/>
            <w:noWrap/>
            <w:vAlign w:val="bottom"/>
            <w:hideMark/>
          </w:tcPr>
          <w:p w14:paraId="1B1D9F1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0.0056</w:t>
            </w:r>
          </w:p>
        </w:tc>
        <w:tc>
          <w:tcPr>
            <w:tcW w:w="1513" w:type="dxa"/>
            <w:tcBorders>
              <w:top w:val="nil"/>
              <w:left w:val="nil"/>
              <w:bottom w:val="single" w:sz="4" w:space="0" w:color="auto"/>
              <w:right w:val="single" w:sz="4" w:space="0" w:color="auto"/>
            </w:tcBorders>
            <w:shd w:val="clear" w:color="auto" w:fill="auto"/>
            <w:noWrap/>
            <w:vAlign w:val="bottom"/>
            <w:hideMark/>
          </w:tcPr>
          <w:p w14:paraId="5A6C7BE2"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35.92%</w:t>
            </w:r>
          </w:p>
        </w:tc>
      </w:tr>
      <w:tr w:rsidR="00E947BA" w:rsidRPr="00A54B47" w14:paraId="3021EC3C"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493A3016"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Germany</w:t>
            </w:r>
          </w:p>
        </w:tc>
        <w:tc>
          <w:tcPr>
            <w:tcW w:w="1335" w:type="dxa"/>
            <w:tcBorders>
              <w:top w:val="nil"/>
              <w:left w:val="nil"/>
              <w:bottom w:val="single" w:sz="4" w:space="0" w:color="auto"/>
              <w:right w:val="single" w:sz="4" w:space="0" w:color="auto"/>
            </w:tcBorders>
            <w:shd w:val="clear" w:color="auto" w:fill="auto"/>
            <w:noWrap/>
            <w:vAlign w:val="bottom"/>
            <w:hideMark/>
          </w:tcPr>
          <w:p w14:paraId="5853A8F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0.0056</w:t>
            </w:r>
          </w:p>
        </w:tc>
        <w:tc>
          <w:tcPr>
            <w:tcW w:w="1513" w:type="dxa"/>
            <w:tcBorders>
              <w:top w:val="nil"/>
              <w:left w:val="nil"/>
              <w:bottom w:val="single" w:sz="4" w:space="0" w:color="auto"/>
              <w:right w:val="single" w:sz="4" w:space="0" w:color="auto"/>
            </w:tcBorders>
            <w:shd w:val="clear" w:color="auto" w:fill="auto"/>
            <w:noWrap/>
            <w:vAlign w:val="bottom"/>
            <w:hideMark/>
          </w:tcPr>
          <w:p w14:paraId="1C84DD13"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35.81%</w:t>
            </w:r>
          </w:p>
        </w:tc>
      </w:tr>
      <w:tr w:rsidR="00E947BA" w:rsidRPr="00A54B47" w14:paraId="630E216E"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2070747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Croatia</w:t>
            </w:r>
          </w:p>
        </w:tc>
        <w:tc>
          <w:tcPr>
            <w:tcW w:w="1335" w:type="dxa"/>
            <w:tcBorders>
              <w:top w:val="nil"/>
              <w:left w:val="nil"/>
              <w:bottom w:val="single" w:sz="4" w:space="0" w:color="auto"/>
              <w:right w:val="single" w:sz="4" w:space="0" w:color="auto"/>
            </w:tcBorders>
            <w:shd w:val="clear" w:color="auto" w:fill="auto"/>
            <w:noWrap/>
            <w:vAlign w:val="bottom"/>
            <w:hideMark/>
          </w:tcPr>
          <w:p w14:paraId="1530DBB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0.0055</w:t>
            </w:r>
          </w:p>
        </w:tc>
        <w:tc>
          <w:tcPr>
            <w:tcW w:w="1513" w:type="dxa"/>
            <w:tcBorders>
              <w:top w:val="nil"/>
              <w:left w:val="nil"/>
              <w:bottom w:val="single" w:sz="4" w:space="0" w:color="auto"/>
              <w:right w:val="single" w:sz="4" w:space="0" w:color="auto"/>
            </w:tcBorders>
            <w:shd w:val="clear" w:color="auto" w:fill="auto"/>
            <w:noWrap/>
            <w:vAlign w:val="bottom"/>
            <w:hideMark/>
          </w:tcPr>
          <w:p w14:paraId="0E68BC5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35.31%</w:t>
            </w:r>
          </w:p>
        </w:tc>
      </w:tr>
      <w:tr w:rsidR="00E947BA" w:rsidRPr="00A54B47" w14:paraId="33C296C4"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30257245"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Luxembourg</w:t>
            </w:r>
          </w:p>
        </w:tc>
        <w:tc>
          <w:tcPr>
            <w:tcW w:w="1335" w:type="dxa"/>
            <w:tcBorders>
              <w:top w:val="nil"/>
              <w:left w:val="nil"/>
              <w:bottom w:val="single" w:sz="4" w:space="0" w:color="auto"/>
              <w:right w:val="single" w:sz="4" w:space="0" w:color="auto"/>
            </w:tcBorders>
            <w:shd w:val="clear" w:color="auto" w:fill="auto"/>
            <w:noWrap/>
            <w:vAlign w:val="bottom"/>
            <w:hideMark/>
          </w:tcPr>
          <w:p w14:paraId="279D9DD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0.0054</w:t>
            </w:r>
          </w:p>
        </w:tc>
        <w:tc>
          <w:tcPr>
            <w:tcW w:w="1513" w:type="dxa"/>
            <w:tcBorders>
              <w:top w:val="nil"/>
              <w:left w:val="nil"/>
              <w:bottom w:val="single" w:sz="4" w:space="0" w:color="auto"/>
              <w:right w:val="single" w:sz="4" w:space="0" w:color="auto"/>
            </w:tcBorders>
            <w:shd w:val="clear" w:color="auto" w:fill="auto"/>
            <w:noWrap/>
            <w:vAlign w:val="bottom"/>
            <w:hideMark/>
          </w:tcPr>
          <w:p w14:paraId="64BCA2E8"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34.56%</w:t>
            </w:r>
          </w:p>
        </w:tc>
      </w:tr>
      <w:tr w:rsidR="00E947BA" w:rsidRPr="00A54B47" w14:paraId="32C4EF00"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4B1EBA0A"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Czechia</w:t>
            </w:r>
          </w:p>
        </w:tc>
        <w:tc>
          <w:tcPr>
            <w:tcW w:w="1335" w:type="dxa"/>
            <w:tcBorders>
              <w:top w:val="nil"/>
              <w:left w:val="nil"/>
              <w:bottom w:val="single" w:sz="4" w:space="0" w:color="auto"/>
              <w:right w:val="single" w:sz="4" w:space="0" w:color="auto"/>
            </w:tcBorders>
            <w:shd w:val="clear" w:color="auto" w:fill="auto"/>
            <w:noWrap/>
            <w:vAlign w:val="bottom"/>
            <w:hideMark/>
          </w:tcPr>
          <w:p w14:paraId="74D3ED7E"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0.0052</w:t>
            </w:r>
          </w:p>
        </w:tc>
        <w:tc>
          <w:tcPr>
            <w:tcW w:w="1513" w:type="dxa"/>
            <w:tcBorders>
              <w:top w:val="nil"/>
              <w:left w:val="nil"/>
              <w:bottom w:val="single" w:sz="4" w:space="0" w:color="auto"/>
              <w:right w:val="single" w:sz="4" w:space="0" w:color="auto"/>
            </w:tcBorders>
            <w:shd w:val="clear" w:color="auto" w:fill="auto"/>
            <w:noWrap/>
            <w:vAlign w:val="bottom"/>
            <w:hideMark/>
          </w:tcPr>
          <w:p w14:paraId="014AEF2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33.22%</w:t>
            </w:r>
          </w:p>
        </w:tc>
      </w:tr>
      <w:tr w:rsidR="00E947BA" w:rsidRPr="00A54B47" w14:paraId="26BF60C1"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4811B24F"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Netherlands</w:t>
            </w:r>
          </w:p>
        </w:tc>
        <w:tc>
          <w:tcPr>
            <w:tcW w:w="1335" w:type="dxa"/>
            <w:tcBorders>
              <w:top w:val="nil"/>
              <w:left w:val="nil"/>
              <w:bottom w:val="single" w:sz="4" w:space="0" w:color="auto"/>
              <w:right w:val="single" w:sz="4" w:space="0" w:color="auto"/>
            </w:tcBorders>
            <w:shd w:val="clear" w:color="auto" w:fill="auto"/>
            <w:noWrap/>
            <w:vAlign w:val="bottom"/>
            <w:hideMark/>
          </w:tcPr>
          <w:p w14:paraId="69F267D6"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0.0049</w:t>
            </w:r>
          </w:p>
        </w:tc>
        <w:tc>
          <w:tcPr>
            <w:tcW w:w="1513" w:type="dxa"/>
            <w:tcBorders>
              <w:top w:val="nil"/>
              <w:left w:val="nil"/>
              <w:bottom w:val="single" w:sz="4" w:space="0" w:color="auto"/>
              <w:right w:val="single" w:sz="4" w:space="0" w:color="auto"/>
            </w:tcBorders>
            <w:shd w:val="clear" w:color="auto" w:fill="auto"/>
            <w:noWrap/>
            <w:vAlign w:val="bottom"/>
            <w:hideMark/>
          </w:tcPr>
          <w:p w14:paraId="13866AE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31.35%</w:t>
            </w:r>
          </w:p>
        </w:tc>
      </w:tr>
      <w:tr w:rsidR="00E947BA" w:rsidRPr="00A54B47" w14:paraId="6AD65C97"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16EFA13C"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Portugal</w:t>
            </w:r>
          </w:p>
        </w:tc>
        <w:tc>
          <w:tcPr>
            <w:tcW w:w="1335" w:type="dxa"/>
            <w:tcBorders>
              <w:top w:val="nil"/>
              <w:left w:val="nil"/>
              <w:bottom w:val="single" w:sz="4" w:space="0" w:color="auto"/>
              <w:right w:val="single" w:sz="4" w:space="0" w:color="auto"/>
            </w:tcBorders>
            <w:shd w:val="clear" w:color="auto" w:fill="auto"/>
            <w:noWrap/>
            <w:vAlign w:val="bottom"/>
            <w:hideMark/>
          </w:tcPr>
          <w:p w14:paraId="02093B7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0.0046</w:t>
            </w:r>
          </w:p>
        </w:tc>
        <w:tc>
          <w:tcPr>
            <w:tcW w:w="1513" w:type="dxa"/>
            <w:tcBorders>
              <w:top w:val="nil"/>
              <w:left w:val="nil"/>
              <w:bottom w:val="single" w:sz="4" w:space="0" w:color="auto"/>
              <w:right w:val="single" w:sz="4" w:space="0" w:color="auto"/>
            </w:tcBorders>
            <w:shd w:val="clear" w:color="auto" w:fill="auto"/>
            <w:noWrap/>
            <w:vAlign w:val="bottom"/>
            <w:hideMark/>
          </w:tcPr>
          <w:p w14:paraId="373AEE5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29.84%</w:t>
            </w:r>
          </w:p>
        </w:tc>
      </w:tr>
      <w:tr w:rsidR="00E947BA" w:rsidRPr="00A54B47" w14:paraId="27BE2068"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3CAB0DA8"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Hungary</w:t>
            </w:r>
          </w:p>
        </w:tc>
        <w:tc>
          <w:tcPr>
            <w:tcW w:w="1335" w:type="dxa"/>
            <w:tcBorders>
              <w:top w:val="nil"/>
              <w:left w:val="nil"/>
              <w:bottom w:val="single" w:sz="4" w:space="0" w:color="auto"/>
              <w:right w:val="single" w:sz="4" w:space="0" w:color="auto"/>
            </w:tcBorders>
            <w:shd w:val="clear" w:color="auto" w:fill="auto"/>
            <w:noWrap/>
            <w:vAlign w:val="bottom"/>
            <w:hideMark/>
          </w:tcPr>
          <w:p w14:paraId="0937C92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0.0043</w:t>
            </w:r>
          </w:p>
        </w:tc>
        <w:tc>
          <w:tcPr>
            <w:tcW w:w="1513" w:type="dxa"/>
            <w:tcBorders>
              <w:top w:val="nil"/>
              <w:left w:val="nil"/>
              <w:bottom w:val="single" w:sz="4" w:space="0" w:color="auto"/>
              <w:right w:val="single" w:sz="4" w:space="0" w:color="auto"/>
            </w:tcBorders>
            <w:shd w:val="clear" w:color="auto" w:fill="auto"/>
            <w:noWrap/>
            <w:vAlign w:val="bottom"/>
            <w:hideMark/>
          </w:tcPr>
          <w:p w14:paraId="3C2D0FA6"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27.57%</w:t>
            </w:r>
          </w:p>
        </w:tc>
      </w:tr>
      <w:tr w:rsidR="00E947BA" w:rsidRPr="00A54B47" w14:paraId="5F12082D"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43EE0C19"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Italy</w:t>
            </w:r>
          </w:p>
        </w:tc>
        <w:tc>
          <w:tcPr>
            <w:tcW w:w="1335" w:type="dxa"/>
            <w:tcBorders>
              <w:top w:val="nil"/>
              <w:left w:val="nil"/>
              <w:bottom w:val="single" w:sz="4" w:space="0" w:color="auto"/>
              <w:right w:val="single" w:sz="4" w:space="0" w:color="auto"/>
            </w:tcBorders>
            <w:shd w:val="clear" w:color="auto" w:fill="auto"/>
            <w:noWrap/>
            <w:vAlign w:val="bottom"/>
            <w:hideMark/>
          </w:tcPr>
          <w:p w14:paraId="1E52FE84"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0.0039</w:t>
            </w:r>
          </w:p>
        </w:tc>
        <w:tc>
          <w:tcPr>
            <w:tcW w:w="1513" w:type="dxa"/>
            <w:tcBorders>
              <w:top w:val="nil"/>
              <w:left w:val="nil"/>
              <w:bottom w:val="single" w:sz="4" w:space="0" w:color="auto"/>
              <w:right w:val="single" w:sz="4" w:space="0" w:color="auto"/>
            </w:tcBorders>
            <w:shd w:val="clear" w:color="auto" w:fill="auto"/>
            <w:noWrap/>
            <w:vAlign w:val="bottom"/>
            <w:hideMark/>
          </w:tcPr>
          <w:p w14:paraId="70FAC2D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25.43%</w:t>
            </w:r>
          </w:p>
        </w:tc>
      </w:tr>
      <w:tr w:rsidR="00E947BA" w:rsidRPr="00A54B47" w14:paraId="65351744"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51D07E3D"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Lithuania</w:t>
            </w:r>
          </w:p>
        </w:tc>
        <w:tc>
          <w:tcPr>
            <w:tcW w:w="1335" w:type="dxa"/>
            <w:tcBorders>
              <w:top w:val="nil"/>
              <w:left w:val="nil"/>
              <w:bottom w:val="single" w:sz="4" w:space="0" w:color="auto"/>
              <w:right w:val="single" w:sz="4" w:space="0" w:color="auto"/>
            </w:tcBorders>
            <w:shd w:val="clear" w:color="auto" w:fill="auto"/>
            <w:noWrap/>
            <w:vAlign w:val="bottom"/>
            <w:hideMark/>
          </w:tcPr>
          <w:p w14:paraId="4687C67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0.0038</w:t>
            </w:r>
          </w:p>
        </w:tc>
        <w:tc>
          <w:tcPr>
            <w:tcW w:w="1513" w:type="dxa"/>
            <w:tcBorders>
              <w:top w:val="nil"/>
              <w:left w:val="nil"/>
              <w:bottom w:val="single" w:sz="4" w:space="0" w:color="auto"/>
              <w:right w:val="single" w:sz="4" w:space="0" w:color="auto"/>
            </w:tcBorders>
            <w:shd w:val="clear" w:color="auto" w:fill="auto"/>
            <w:noWrap/>
            <w:vAlign w:val="bottom"/>
            <w:hideMark/>
          </w:tcPr>
          <w:p w14:paraId="61D5E16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24.17%</w:t>
            </w:r>
          </w:p>
        </w:tc>
      </w:tr>
      <w:tr w:rsidR="00E947BA" w:rsidRPr="00A54B47" w14:paraId="1001F159"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40CA664B"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Slovakia</w:t>
            </w:r>
          </w:p>
        </w:tc>
        <w:tc>
          <w:tcPr>
            <w:tcW w:w="1335" w:type="dxa"/>
            <w:tcBorders>
              <w:top w:val="nil"/>
              <w:left w:val="nil"/>
              <w:bottom w:val="single" w:sz="4" w:space="0" w:color="auto"/>
              <w:right w:val="single" w:sz="4" w:space="0" w:color="auto"/>
            </w:tcBorders>
            <w:shd w:val="clear" w:color="auto" w:fill="auto"/>
            <w:noWrap/>
            <w:vAlign w:val="bottom"/>
            <w:hideMark/>
          </w:tcPr>
          <w:p w14:paraId="2FC315E0"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0.0036</w:t>
            </w:r>
          </w:p>
        </w:tc>
        <w:tc>
          <w:tcPr>
            <w:tcW w:w="1513" w:type="dxa"/>
            <w:tcBorders>
              <w:top w:val="nil"/>
              <w:left w:val="nil"/>
              <w:bottom w:val="single" w:sz="4" w:space="0" w:color="auto"/>
              <w:right w:val="single" w:sz="4" w:space="0" w:color="auto"/>
            </w:tcBorders>
            <w:shd w:val="clear" w:color="auto" w:fill="auto"/>
            <w:noWrap/>
            <w:vAlign w:val="bottom"/>
            <w:hideMark/>
          </w:tcPr>
          <w:p w14:paraId="6A2B08EA"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23.20%</w:t>
            </w:r>
          </w:p>
        </w:tc>
      </w:tr>
      <w:tr w:rsidR="00E947BA" w:rsidRPr="00A54B47" w14:paraId="16FD280B"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35948BDF"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Latvia</w:t>
            </w:r>
          </w:p>
        </w:tc>
        <w:tc>
          <w:tcPr>
            <w:tcW w:w="1335" w:type="dxa"/>
            <w:tcBorders>
              <w:top w:val="nil"/>
              <w:left w:val="nil"/>
              <w:bottom w:val="single" w:sz="4" w:space="0" w:color="auto"/>
              <w:right w:val="single" w:sz="4" w:space="0" w:color="auto"/>
            </w:tcBorders>
            <w:shd w:val="clear" w:color="auto" w:fill="auto"/>
            <w:noWrap/>
            <w:vAlign w:val="bottom"/>
            <w:hideMark/>
          </w:tcPr>
          <w:p w14:paraId="1EC6A7C1"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0.0031</w:t>
            </w:r>
          </w:p>
        </w:tc>
        <w:tc>
          <w:tcPr>
            <w:tcW w:w="1513" w:type="dxa"/>
            <w:tcBorders>
              <w:top w:val="nil"/>
              <w:left w:val="nil"/>
              <w:bottom w:val="single" w:sz="4" w:space="0" w:color="auto"/>
              <w:right w:val="single" w:sz="4" w:space="0" w:color="auto"/>
            </w:tcBorders>
            <w:shd w:val="clear" w:color="auto" w:fill="auto"/>
            <w:noWrap/>
            <w:vAlign w:val="bottom"/>
            <w:hideMark/>
          </w:tcPr>
          <w:p w14:paraId="461E645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19.92%</w:t>
            </w:r>
          </w:p>
        </w:tc>
      </w:tr>
      <w:tr w:rsidR="00E947BA" w:rsidRPr="00A54B47" w14:paraId="5939CE9D"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08F5E2D3"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Poland</w:t>
            </w:r>
          </w:p>
        </w:tc>
        <w:tc>
          <w:tcPr>
            <w:tcW w:w="1335" w:type="dxa"/>
            <w:tcBorders>
              <w:top w:val="nil"/>
              <w:left w:val="nil"/>
              <w:bottom w:val="single" w:sz="4" w:space="0" w:color="auto"/>
              <w:right w:val="single" w:sz="4" w:space="0" w:color="auto"/>
            </w:tcBorders>
            <w:shd w:val="clear" w:color="auto" w:fill="auto"/>
            <w:noWrap/>
            <w:vAlign w:val="bottom"/>
            <w:hideMark/>
          </w:tcPr>
          <w:p w14:paraId="5C0B6E4D"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0.0028</w:t>
            </w:r>
          </w:p>
        </w:tc>
        <w:tc>
          <w:tcPr>
            <w:tcW w:w="1513" w:type="dxa"/>
            <w:tcBorders>
              <w:top w:val="nil"/>
              <w:left w:val="nil"/>
              <w:bottom w:val="single" w:sz="4" w:space="0" w:color="auto"/>
              <w:right w:val="single" w:sz="4" w:space="0" w:color="auto"/>
            </w:tcBorders>
            <w:shd w:val="clear" w:color="auto" w:fill="auto"/>
            <w:noWrap/>
            <w:vAlign w:val="bottom"/>
            <w:hideMark/>
          </w:tcPr>
          <w:p w14:paraId="3D935BE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17.95%</w:t>
            </w:r>
          </w:p>
        </w:tc>
      </w:tr>
      <w:tr w:rsidR="00E947BA" w:rsidRPr="00A54B47" w14:paraId="5B4A2BF2" w14:textId="77777777" w:rsidTr="00C066F9">
        <w:trPr>
          <w:trHeight w:val="285"/>
        </w:trPr>
        <w:tc>
          <w:tcPr>
            <w:tcW w:w="1652" w:type="dxa"/>
            <w:tcBorders>
              <w:top w:val="nil"/>
              <w:left w:val="single" w:sz="4" w:space="0" w:color="auto"/>
              <w:bottom w:val="single" w:sz="4" w:space="0" w:color="auto"/>
              <w:right w:val="single" w:sz="4" w:space="0" w:color="auto"/>
            </w:tcBorders>
            <w:shd w:val="clear" w:color="000000" w:fill="99CCFF"/>
            <w:noWrap/>
            <w:vAlign w:val="bottom"/>
            <w:hideMark/>
          </w:tcPr>
          <w:p w14:paraId="19B83621" w14:textId="77777777" w:rsidR="00E947BA" w:rsidRPr="00A54B47" w:rsidRDefault="00E947BA" w:rsidP="00C066F9">
            <w:pPr>
              <w:spacing w:line="240" w:lineRule="auto"/>
              <w:rPr>
                <w:rFonts w:ascii="Arial" w:hAnsi="Arial" w:cs="Arial"/>
                <w:lang w:eastAsia="hu-HU"/>
              </w:rPr>
            </w:pPr>
            <w:r w:rsidRPr="00A54B47">
              <w:rPr>
                <w:rFonts w:ascii="Arial" w:hAnsi="Arial" w:cs="Arial"/>
                <w:lang w:eastAsia="hu-HU"/>
              </w:rPr>
              <w:t>Romania</w:t>
            </w:r>
          </w:p>
        </w:tc>
        <w:tc>
          <w:tcPr>
            <w:tcW w:w="1335" w:type="dxa"/>
            <w:tcBorders>
              <w:top w:val="nil"/>
              <w:left w:val="nil"/>
              <w:bottom w:val="single" w:sz="4" w:space="0" w:color="auto"/>
              <w:right w:val="single" w:sz="4" w:space="0" w:color="auto"/>
            </w:tcBorders>
            <w:shd w:val="clear" w:color="auto" w:fill="auto"/>
            <w:noWrap/>
            <w:vAlign w:val="bottom"/>
            <w:hideMark/>
          </w:tcPr>
          <w:p w14:paraId="4B014257"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0.0024</w:t>
            </w:r>
          </w:p>
        </w:tc>
        <w:tc>
          <w:tcPr>
            <w:tcW w:w="1513" w:type="dxa"/>
            <w:tcBorders>
              <w:top w:val="nil"/>
              <w:left w:val="nil"/>
              <w:bottom w:val="single" w:sz="4" w:space="0" w:color="auto"/>
              <w:right w:val="single" w:sz="4" w:space="0" w:color="auto"/>
            </w:tcBorders>
            <w:shd w:val="clear" w:color="auto" w:fill="auto"/>
            <w:noWrap/>
            <w:vAlign w:val="bottom"/>
            <w:hideMark/>
          </w:tcPr>
          <w:p w14:paraId="0A5ADFD9" w14:textId="77777777" w:rsidR="00E947BA" w:rsidRPr="00A54B47" w:rsidRDefault="00E947BA" w:rsidP="00C066F9">
            <w:pPr>
              <w:spacing w:line="240" w:lineRule="auto"/>
              <w:jc w:val="right"/>
              <w:rPr>
                <w:rFonts w:ascii="Arial" w:hAnsi="Arial" w:cs="Arial"/>
                <w:lang w:eastAsia="hu-HU"/>
              </w:rPr>
            </w:pPr>
            <w:r w:rsidRPr="00A54B47">
              <w:rPr>
                <w:rFonts w:ascii="Arial" w:hAnsi="Arial" w:cs="Arial"/>
                <w:lang w:eastAsia="hu-HU"/>
              </w:rPr>
              <w:t>15.51%</w:t>
            </w:r>
          </w:p>
        </w:tc>
      </w:tr>
    </w:tbl>
    <w:p w14:paraId="5D2877AC" w14:textId="77DB1F29" w:rsidR="00AD69E1" w:rsidRDefault="00AD69E1" w:rsidP="00973D99"/>
    <w:p w14:paraId="52EAADD1" w14:textId="77777777" w:rsidR="00407773" w:rsidRPr="00334D96" w:rsidRDefault="00407773" w:rsidP="00973D99"/>
    <w:p w14:paraId="3D358C33" w14:textId="7FFA5C42" w:rsidR="00973D99" w:rsidRPr="00334D96" w:rsidRDefault="00973D99" w:rsidP="00973D99">
      <w:pPr>
        <w:keepNext/>
        <w:numPr>
          <w:ilvl w:val="0"/>
          <w:numId w:val="3"/>
        </w:numPr>
        <w:overflowPunct w:val="0"/>
        <w:autoSpaceDE w:val="0"/>
        <w:autoSpaceDN w:val="0"/>
        <w:adjustRightInd w:val="0"/>
        <w:ind w:left="567" w:hanging="567"/>
        <w:textAlignment w:val="baseline"/>
        <w:rPr>
          <w:b/>
        </w:rPr>
      </w:pPr>
      <w:r w:rsidRPr="003A043C">
        <w:rPr>
          <w:b/>
          <w:bCs/>
        </w:rPr>
        <w:t>POLICY</w:t>
      </w:r>
      <w:r w:rsidRPr="00334D96">
        <w:rPr>
          <w:b/>
        </w:rPr>
        <w:t xml:space="preserve"> </w:t>
      </w:r>
      <w:r w:rsidR="00B8518E">
        <w:rPr>
          <w:b/>
        </w:rPr>
        <w:t>QUESTIONS</w:t>
      </w:r>
    </w:p>
    <w:p w14:paraId="4A504E14" w14:textId="77777777" w:rsidR="00973D99" w:rsidRPr="00334D96" w:rsidRDefault="00973D99" w:rsidP="00973D99">
      <w:pPr>
        <w:keepNext/>
      </w:pPr>
    </w:p>
    <w:p w14:paraId="05D02F09" w14:textId="6109F084" w:rsidR="00973D99" w:rsidRPr="00334D96" w:rsidRDefault="00B8518E" w:rsidP="00973D99">
      <w:pPr>
        <w:keepNext/>
      </w:pPr>
      <w:r>
        <w:t>The rapporteur suggests discussing the following issues in the ENVE</w:t>
      </w:r>
      <w:r w:rsidR="009135C1">
        <w:t xml:space="preserve">. Members` contribution to any of the </w:t>
      </w:r>
      <w:r w:rsidR="00D23CBF">
        <w:t>questions raised are more than welcomed by the rapporteur.</w:t>
      </w:r>
    </w:p>
    <w:p w14:paraId="1EA9109D" w14:textId="77777777" w:rsidR="00973D99" w:rsidRPr="00334D96" w:rsidRDefault="00973D99" w:rsidP="00973D99">
      <w:pPr>
        <w:keepNext/>
      </w:pPr>
    </w:p>
    <w:p w14:paraId="576FC66F" w14:textId="50EE874B" w:rsidR="00E56AE5" w:rsidRDefault="00EE0160" w:rsidP="003E572B">
      <w:pPr>
        <w:pStyle w:val="Default"/>
        <w:numPr>
          <w:ilvl w:val="0"/>
          <w:numId w:val="6"/>
        </w:numPr>
        <w:spacing w:after="240" w:line="276" w:lineRule="auto"/>
        <w:jc w:val="both"/>
        <w:rPr>
          <w:sz w:val="22"/>
          <w:szCs w:val="22"/>
        </w:rPr>
      </w:pPr>
      <w:r>
        <w:rPr>
          <w:sz w:val="22"/>
          <w:szCs w:val="22"/>
        </w:rPr>
        <w:t>E</w:t>
      </w:r>
      <w:r w:rsidR="00D23CBF">
        <w:rPr>
          <w:sz w:val="22"/>
          <w:szCs w:val="22"/>
        </w:rPr>
        <w:t>nergy taxes</w:t>
      </w:r>
      <w:r w:rsidR="00AE190A">
        <w:rPr>
          <w:sz w:val="22"/>
          <w:szCs w:val="22"/>
        </w:rPr>
        <w:t xml:space="preserve"> are going to be more flexible after the recast of the Directive. Should the </w:t>
      </w:r>
      <w:proofErr w:type="spellStart"/>
      <w:r w:rsidR="00AE190A">
        <w:rPr>
          <w:sz w:val="22"/>
          <w:szCs w:val="22"/>
        </w:rPr>
        <w:t>CoR</w:t>
      </w:r>
      <w:proofErr w:type="spellEnd"/>
      <w:r w:rsidR="00AE190A">
        <w:rPr>
          <w:sz w:val="22"/>
          <w:szCs w:val="22"/>
        </w:rPr>
        <w:t xml:space="preserve"> </w:t>
      </w:r>
      <w:r w:rsidR="00EF4F34">
        <w:rPr>
          <w:sz w:val="22"/>
          <w:szCs w:val="22"/>
        </w:rPr>
        <w:t>suggest analysing</w:t>
      </w:r>
      <w:r w:rsidR="00CF6FE8">
        <w:rPr>
          <w:sz w:val="22"/>
          <w:szCs w:val="22"/>
        </w:rPr>
        <w:t xml:space="preserve"> </w:t>
      </w:r>
      <w:r w:rsidR="00E56AE5">
        <w:rPr>
          <w:sz w:val="22"/>
          <w:szCs w:val="22"/>
        </w:rPr>
        <w:t xml:space="preserve">territorial patterns </w:t>
      </w:r>
      <w:r w:rsidR="00EF4F34">
        <w:rPr>
          <w:sz w:val="22"/>
          <w:szCs w:val="22"/>
        </w:rPr>
        <w:t xml:space="preserve">for member states </w:t>
      </w:r>
      <w:proofErr w:type="gramStart"/>
      <w:r>
        <w:rPr>
          <w:sz w:val="22"/>
          <w:szCs w:val="22"/>
        </w:rPr>
        <w:t>in order to</w:t>
      </w:r>
      <w:proofErr w:type="gramEnd"/>
      <w:r>
        <w:rPr>
          <w:sz w:val="22"/>
          <w:szCs w:val="22"/>
        </w:rPr>
        <w:t xml:space="preserve"> allow regional or even local </w:t>
      </w:r>
      <w:r w:rsidR="002A2E31">
        <w:rPr>
          <w:sz w:val="22"/>
          <w:szCs w:val="22"/>
        </w:rPr>
        <w:t>exemptions or reduced levels in special circumstances?</w:t>
      </w:r>
    </w:p>
    <w:p w14:paraId="385D5279" w14:textId="5ED73B3A" w:rsidR="00EF4F34" w:rsidRDefault="00EF4F34" w:rsidP="003E572B">
      <w:pPr>
        <w:pStyle w:val="Default"/>
        <w:numPr>
          <w:ilvl w:val="0"/>
          <w:numId w:val="6"/>
        </w:numPr>
        <w:spacing w:after="240" w:line="276" w:lineRule="auto"/>
        <w:jc w:val="both"/>
        <w:rPr>
          <w:sz w:val="22"/>
          <w:szCs w:val="22"/>
        </w:rPr>
      </w:pPr>
      <w:r>
        <w:rPr>
          <w:sz w:val="22"/>
          <w:szCs w:val="22"/>
        </w:rPr>
        <w:t xml:space="preserve">The regulation on the new Fund is </w:t>
      </w:r>
      <w:r w:rsidR="00C27551">
        <w:rPr>
          <w:sz w:val="22"/>
          <w:szCs w:val="22"/>
        </w:rPr>
        <w:t xml:space="preserve">an ongoing process, and its governance is going to be different to the </w:t>
      </w:r>
      <w:r w:rsidR="00B529D1">
        <w:rPr>
          <w:sz w:val="22"/>
          <w:szCs w:val="22"/>
        </w:rPr>
        <w:t>`</w:t>
      </w:r>
      <w:r w:rsidR="00C27551">
        <w:rPr>
          <w:sz w:val="22"/>
          <w:szCs w:val="22"/>
        </w:rPr>
        <w:t>traditional</w:t>
      </w:r>
      <w:r w:rsidR="00B529D1">
        <w:rPr>
          <w:sz w:val="22"/>
          <w:szCs w:val="22"/>
        </w:rPr>
        <w:t>`</w:t>
      </w:r>
      <w:r w:rsidR="00C27551">
        <w:rPr>
          <w:sz w:val="22"/>
          <w:szCs w:val="22"/>
        </w:rPr>
        <w:t xml:space="preserve"> </w:t>
      </w:r>
      <w:r w:rsidR="00B529D1">
        <w:rPr>
          <w:sz w:val="22"/>
          <w:szCs w:val="22"/>
        </w:rPr>
        <w:t xml:space="preserve">ESIF. One might suggest allowing direct access and managing authority status for </w:t>
      </w:r>
      <w:r w:rsidR="009F0660">
        <w:rPr>
          <w:sz w:val="22"/>
          <w:szCs w:val="22"/>
        </w:rPr>
        <w:t>LRAs where the necessary expertise is present.</w:t>
      </w:r>
    </w:p>
    <w:p w14:paraId="14FB8C0E" w14:textId="69F70BF6" w:rsidR="00E56AE5" w:rsidRDefault="00CF6FE8" w:rsidP="003E572B">
      <w:pPr>
        <w:pStyle w:val="Default"/>
        <w:numPr>
          <w:ilvl w:val="0"/>
          <w:numId w:val="6"/>
        </w:numPr>
        <w:spacing w:after="240" w:line="276" w:lineRule="auto"/>
        <w:jc w:val="both"/>
        <w:rPr>
          <w:sz w:val="22"/>
          <w:szCs w:val="22"/>
        </w:rPr>
      </w:pPr>
      <w:r>
        <w:rPr>
          <w:sz w:val="22"/>
          <w:szCs w:val="22"/>
        </w:rPr>
        <w:lastRenderedPageBreak/>
        <w:t xml:space="preserve">Should </w:t>
      </w:r>
      <w:r w:rsidR="002A2E31">
        <w:rPr>
          <w:sz w:val="22"/>
          <w:szCs w:val="22"/>
        </w:rPr>
        <w:t>the opinion suggest</w:t>
      </w:r>
      <w:r>
        <w:rPr>
          <w:sz w:val="22"/>
          <w:szCs w:val="22"/>
        </w:rPr>
        <w:t xml:space="preserve"> the Commission to consult the </w:t>
      </w:r>
      <w:proofErr w:type="spellStart"/>
      <w:r>
        <w:rPr>
          <w:sz w:val="22"/>
          <w:szCs w:val="22"/>
        </w:rPr>
        <w:t>CoR</w:t>
      </w:r>
      <w:proofErr w:type="spellEnd"/>
      <w:r>
        <w:rPr>
          <w:sz w:val="22"/>
          <w:szCs w:val="22"/>
        </w:rPr>
        <w:t xml:space="preserve"> </w:t>
      </w:r>
      <w:proofErr w:type="gramStart"/>
      <w:r>
        <w:rPr>
          <w:sz w:val="22"/>
          <w:szCs w:val="22"/>
        </w:rPr>
        <w:t>in order to</w:t>
      </w:r>
      <w:proofErr w:type="gramEnd"/>
      <w:r>
        <w:rPr>
          <w:sz w:val="22"/>
          <w:szCs w:val="22"/>
        </w:rPr>
        <w:t xml:space="preserve"> </w:t>
      </w:r>
      <w:r w:rsidR="00CE5B6C">
        <w:rPr>
          <w:sz w:val="22"/>
          <w:szCs w:val="22"/>
        </w:rPr>
        <w:t xml:space="preserve">start collecting reliable </w:t>
      </w:r>
      <w:r w:rsidR="00E56AE5">
        <w:rPr>
          <w:sz w:val="22"/>
          <w:szCs w:val="22"/>
        </w:rPr>
        <w:t>regional data</w:t>
      </w:r>
      <w:r w:rsidR="00CE5B6C">
        <w:rPr>
          <w:sz w:val="22"/>
          <w:szCs w:val="22"/>
        </w:rPr>
        <w:t xml:space="preserve"> on </w:t>
      </w:r>
      <w:r w:rsidR="00AE190A">
        <w:rPr>
          <w:sz w:val="22"/>
          <w:szCs w:val="22"/>
        </w:rPr>
        <w:t>energy consumption and energy poverty?</w:t>
      </w:r>
    </w:p>
    <w:p w14:paraId="55EE9737" w14:textId="4319CFE3" w:rsidR="00E56AE5" w:rsidRDefault="00FD5B04" w:rsidP="003E572B">
      <w:pPr>
        <w:pStyle w:val="Default"/>
        <w:numPr>
          <w:ilvl w:val="0"/>
          <w:numId w:val="6"/>
        </w:numPr>
        <w:spacing w:after="240" w:line="276" w:lineRule="auto"/>
        <w:jc w:val="both"/>
        <w:rPr>
          <w:sz w:val="22"/>
          <w:szCs w:val="22"/>
        </w:rPr>
      </w:pPr>
      <w:r>
        <w:rPr>
          <w:sz w:val="22"/>
          <w:szCs w:val="22"/>
        </w:rPr>
        <w:t xml:space="preserve">Based on reliable regional data and </w:t>
      </w:r>
      <w:r w:rsidR="00E56AE5">
        <w:rPr>
          <w:sz w:val="22"/>
          <w:szCs w:val="22"/>
        </w:rPr>
        <w:t xml:space="preserve">taxes </w:t>
      </w:r>
      <w:r w:rsidR="00DF6F4E">
        <w:rPr>
          <w:sz w:val="22"/>
          <w:szCs w:val="22"/>
        </w:rPr>
        <w:t>finetuned reflecting regional specificitie</w:t>
      </w:r>
      <w:r w:rsidR="00DF6F4E" w:rsidRPr="00DF6F4E">
        <w:rPr>
          <w:sz w:val="22"/>
          <w:szCs w:val="22"/>
        </w:rPr>
        <w:t>s</w:t>
      </w:r>
    </w:p>
    <w:p w14:paraId="226FAD20" w14:textId="2CB6EFF7" w:rsidR="00DF6F4E" w:rsidRDefault="00217097" w:rsidP="003E572B">
      <w:pPr>
        <w:pStyle w:val="Default"/>
        <w:numPr>
          <w:ilvl w:val="0"/>
          <w:numId w:val="6"/>
        </w:numPr>
        <w:spacing w:after="240" w:line="276" w:lineRule="auto"/>
        <w:jc w:val="both"/>
        <w:rPr>
          <w:sz w:val="22"/>
          <w:szCs w:val="22"/>
        </w:rPr>
      </w:pPr>
      <w:r>
        <w:rPr>
          <w:sz w:val="22"/>
          <w:szCs w:val="22"/>
        </w:rPr>
        <w:t>regional temporal exceptions of taxing and ETS</w:t>
      </w:r>
    </w:p>
    <w:p w14:paraId="0120A329" w14:textId="223B6527" w:rsidR="00217097" w:rsidRDefault="002A6D9A" w:rsidP="003E572B">
      <w:pPr>
        <w:pStyle w:val="Default"/>
        <w:numPr>
          <w:ilvl w:val="0"/>
          <w:numId w:val="6"/>
        </w:numPr>
        <w:spacing w:after="240" w:line="276" w:lineRule="auto"/>
        <w:jc w:val="both"/>
        <w:rPr>
          <w:sz w:val="22"/>
          <w:szCs w:val="22"/>
        </w:rPr>
      </w:pPr>
      <w:r>
        <w:rPr>
          <w:sz w:val="22"/>
          <w:szCs w:val="22"/>
        </w:rPr>
        <w:t xml:space="preserve">There are several infringements related to national energy plans, while </w:t>
      </w:r>
      <w:r w:rsidR="00DD0206">
        <w:rPr>
          <w:sz w:val="22"/>
          <w:szCs w:val="22"/>
        </w:rPr>
        <w:t xml:space="preserve">energy and climate policy update is still </w:t>
      </w:r>
      <w:proofErr w:type="gramStart"/>
      <w:r w:rsidR="003802BC">
        <w:rPr>
          <w:sz w:val="22"/>
          <w:szCs w:val="22"/>
        </w:rPr>
        <w:t>takes</w:t>
      </w:r>
      <w:proofErr w:type="gramEnd"/>
      <w:r w:rsidR="003802BC">
        <w:rPr>
          <w:sz w:val="22"/>
          <w:szCs w:val="22"/>
        </w:rPr>
        <w:t xml:space="preserve"> the quality and reliability of these plans as granted. </w:t>
      </w:r>
      <w:r w:rsidR="00B12215">
        <w:rPr>
          <w:sz w:val="22"/>
          <w:szCs w:val="22"/>
        </w:rPr>
        <w:t>Should we add the obligation of discussing r</w:t>
      </w:r>
      <w:r w:rsidR="00217097">
        <w:rPr>
          <w:sz w:val="22"/>
          <w:szCs w:val="22"/>
        </w:rPr>
        <w:t>egional and local</w:t>
      </w:r>
      <w:r w:rsidR="00B12215">
        <w:rPr>
          <w:sz w:val="22"/>
          <w:szCs w:val="22"/>
        </w:rPr>
        <w:t xml:space="preserve"> authorities in the design phase of the new </w:t>
      </w:r>
      <w:r w:rsidR="0054036D">
        <w:rPr>
          <w:sz w:val="22"/>
          <w:szCs w:val="22"/>
        </w:rPr>
        <w:t>NECP</w:t>
      </w:r>
      <w:r w:rsidR="00B12215">
        <w:rPr>
          <w:sz w:val="22"/>
          <w:szCs w:val="22"/>
        </w:rPr>
        <w:t>s,</w:t>
      </w:r>
      <w:r w:rsidR="007C5743">
        <w:rPr>
          <w:sz w:val="22"/>
          <w:szCs w:val="22"/>
        </w:rPr>
        <w:t xml:space="preserve"> and </w:t>
      </w:r>
    </w:p>
    <w:p w14:paraId="1EF7BD96" w14:textId="4F598EF9" w:rsidR="0095372F" w:rsidRDefault="007C5743" w:rsidP="003E572B">
      <w:pPr>
        <w:pStyle w:val="Default"/>
        <w:numPr>
          <w:ilvl w:val="0"/>
          <w:numId w:val="6"/>
        </w:numPr>
        <w:spacing w:after="240" w:line="276" w:lineRule="auto"/>
        <w:jc w:val="both"/>
        <w:rPr>
          <w:sz w:val="22"/>
          <w:szCs w:val="22"/>
        </w:rPr>
      </w:pPr>
      <w:r>
        <w:rPr>
          <w:sz w:val="22"/>
          <w:szCs w:val="22"/>
        </w:rPr>
        <w:t xml:space="preserve">The </w:t>
      </w:r>
      <w:proofErr w:type="spellStart"/>
      <w:r w:rsidR="0095372F">
        <w:rPr>
          <w:sz w:val="22"/>
          <w:szCs w:val="22"/>
        </w:rPr>
        <w:t>CoM</w:t>
      </w:r>
      <w:proofErr w:type="spellEnd"/>
      <w:r w:rsidR="0095372F">
        <w:rPr>
          <w:sz w:val="22"/>
          <w:szCs w:val="22"/>
        </w:rPr>
        <w:t xml:space="preserve"> </w:t>
      </w:r>
      <w:r>
        <w:rPr>
          <w:sz w:val="22"/>
          <w:szCs w:val="22"/>
        </w:rPr>
        <w:t xml:space="preserve">has shown its </w:t>
      </w:r>
      <w:r w:rsidR="00CF53D1">
        <w:rPr>
          <w:sz w:val="22"/>
          <w:szCs w:val="22"/>
        </w:rPr>
        <w:t>usefulness in contributing to energy efficiency and climate issues. The recast directive and the new Fund should take advantage of</w:t>
      </w:r>
      <w:r>
        <w:rPr>
          <w:sz w:val="22"/>
          <w:szCs w:val="22"/>
        </w:rPr>
        <w:t xml:space="preserve"> </w:t>
      </w:r>
      <w:proofErr w:type="spellStart"/>
      <w:r w:rsidR="00CF53D1">
        <w:rPr>
          <w:sz w:val="22"/>
          <w:szCs w:val="22"/>
        </w:rPr>
        <w:t>CoM</w:t>
      </w:r>
      <w:proofErr w:type="spellEnd"/>
      <w:r w:rsidR="00CF53D1">
        <w:rPr>
          <w:sz w:val="22"/>
          <w:szCs w:val="22"/>
        </w:rPr>
        <w:t xml:space="preserve"> members` insight and expertise, and </w:t>
      </w:r>
      <w:r w:rsidR="00B10305">
        <w:rPr>
          <w:sz w:val="22"/>
          <w:szCs w:val="22"/>
        </w:rPr>
        <w:t>fast-track actions included in SEAPs at local or regional level.</w:t>
      </w:r>
    </w:p>
    <w:p w14:paraId="19A41771" w14:textId="0FDC6DC9" w:rsidR="00217097" w:rsidRDefault="006020A3" w:rsidP="003E572B">
      <w:pPr>
        <w:pStyle w:val="Default"/>
        <w:numPr>
          <w:ilvl w:val="0"/>
          <w:numId w:val="6"/>
        </w:numPr>
        <w:spacing w:after="240" w:line="276" w:lineRule="auto"/>
        <w:jc w:val="both"/>
        <w:rPr>
          <w:sz w:val="22"/>
          <w:szCs w:val="22"/>
        </w:rPr>
      </w:pPr>
      <w:r>
        <w:rPr>
          <w:sz w:val="22"/>
          <w:szCs w:val="22"/>
        </w:rPr>
        <w:t xml:space="preserve">There are regions in Europe where </w:t>
      </w:r>
      <w:proofErr w:type="gramStart"/>
      <w:r w:rsidR="00251B09">
        <w:rPr>
          <w:sz w:val="22"/>
          <w:szCs w:val="22"/>
        </w:rPr>
        <w:t>fire wood</w:t>
      </w:r>
      <w:proofErr w:type="gramEnd"/>
      <w:r>
        <w:rPr>
          <w:sz w:val="22"/>
          <w:szCs w:val="22"/>
        </w:rPr>
        <w:t xml:space="preserve"> is used for heating and cooking, not as a part of luxury life</w:t>
      </w:r>
      <w:r w:rsidR="00AD7B77">
        <w:rPr>
          <w:sz w:val="22"/>
          <w:szCs w:val="22"/>
        </w:rPr>
        <w:t>style, but as a sign of poverty. The recast of the</w:t>
      </w:r>
      <w:r w:rsidR="00251B09">
        <w:rPr>
          <w:sz w:val="22"/>
          <w:szCs w:val="22"/>
        </w:rPr>
        <w:t xml:space="preserve"> tax</w:t>
      </w:r>
      <w:r w:rsidR="00AD7B77">
        <w:rPr>
          <w:sz w:val="22"/>
          <w:szCs w:val="22"/>
        </w:rPr>
        <w:t xml:space="preserve"> directive and the ETS for ho</w:t>
      </w:r>
      <w:r w:rsidR="00DC4890">
        <w:rPr>
          <w:sz w:val="22"/>
          <w:szCs w:val="22"/>
        </w:rPr>
        <w:t xml:space="preserve">usehold both going to affect these consumers. Should we suggest </w:t>
      </w:r>
      <w:r w:rsidR="00251B09">
        <w:rPr>
          <w:sz w:val="22"/>
          <w:szCs w:val="22"/>
        </w:rPr>
        <w:t>exemption</w:t>
      </w:r>
      <w:r w:rsidR="00BB12BB">
        <w:rPr>
          <w:sz w:val="22"/>
          <w:szCs w:val="22"/>
        </w:rPr>
        <w:t xml:space="preserve"> in </w:t>
      </w:r>
      <w:r w:rsidR="00DC4890">
        <w:rPr>
          <w:sz w:val="22"/>
          <w:szCs w:val="22"/>
        </w:rPr>
        <w:t xml:space="preserve">affected regions until the </w:t>
      </w:r>
      <w:r w:rsidR="005D1465">
        <w:rPr>
          <w:sz w:val="22"/>
          <w:szCs w:val="22"/>
        </w:rPr>
        <w:t xml:space="preserve">critical mass of support is accessible for households switching from </w:t>
      </w:r>
      <w:proofErr w:type="gramStart"/>
      <w:r w:rsidR="005D1465">
        <w:rPr>
          <w:sz w:val="22"/>
          <w:szCs w:val="22"/>
        </w:rPr>
        <w:t>fire wood</w:t>
      </w:r>
      <w:proofErr w:type="gramEnd"/>
      <w:r w:rsidR="005D1465">
        <w:rPr>
          <w:sz w:val="22"/>
          <w:szCs w:val="22"/>
        </w:rPr>
        <w:t xml:space="preserve"> to RES and </w:t>
      </w:r>
      <w:r w:rsidR="00473EB6">
        <w:rPr>
          <w:sz w:val="22"/>
          <w:szCs w:val="22"/>
        </w:rPr>
        <w:t>energy efficient non-fossil energy use?</w:t>
      </w:r>
    </w:p>
    <w:p w14:paraId="44AB4E02" w14:textId="2B2CB948" w:rsidR="00251B09" w:rsidRDefault="004A1F67" w:rsidP="003E572B">
      <w:pPr>
        <w:pStyle w:val="Default"/>
        <w:numPr>
          <w:ilvl w:val="0"/>
          <w:numId w:val="6"/>
        </w:numPr>
        <w:spacing w:after="240" w:line="276" w:lineRule="auto"/>
        <w:jc w:val="both"/>
        <w:rPr>
          <w:sz w:val="22"/>
          <w:szCs w:val="22"/>
        </w:rPr>
      </w:pPr>
      <w:r>
        <w:rPr>
          <w:sz w:val="22"/>
          <w:szCs w:val="22"/>
        </w:rPr>
        <w:t xml:space="preserve">There are regions across Europe where </w:t>
      </w:r>
      <w:r w:rsidR="007C78A9">
        <w:rPr>
          <w:sz w:val="22"/>
          <w:szCs w:val="22"/>
        </w:rPr>
        <w:t>district heating and cooling</w:t>
      </w:r>
      <w:r>
        <w:rPr>
          <w:sz w:val="22"/>
          <w:szCs w:val="22"/>
        </w:rPr>
        <w:t xml:space="preserve"> </w:t>
      </w:r>
      <w:r w:rsidR="004954D8">
        <w:rPr>
          <w:sz w:val="22"/>
          <w:szCs w:val="22"/>
        </w:rPr>
        <w:t>might be a more reliable</w:t>
      </w:r>
      <w:r w:rsidR="005E7D05">
        <w:rPr>
          <w:sz w:val="22"/>
          <w:szCs w:val="22"/>
        </w:rPr>
        <w:t xml:space="preserve">, more </w:t>
      </w:r>
      <w:proofErr w:type="gramStart"/>
      <w:r w:rsidR="005E7D05">
        <w:rPr>
          <w:sz w:val="22"/>
          <w:szCs w:val="22"/>
        </w:rPr>
        <w:t>efficient</w:t>
      </w:r>
      <w:proofErr w:type="gramEnd"/>
      <w:r w:rsidR="005E7D05">
        <w:rPr>
          <w:sz w:val="22"/>
          <w:szCs w:val="22"/>
        </w:rPr>
        <w:t xml:space="preserve"> and </w:t>
      </w:r>
      <w:r w:rsidR="008F1E13">
        <w:rPr>
          <w:sz w:val="22"/>
          <w:szCs w:val="22"/>
        </w:rPr>
        <w:t>affordable solution for citizens. Should the new Fund be harmonised with other ESIF</w:t>
      </w:r>
      <w:r w:rsidR="00476F58">
        <w:rPr>
          <w:sz w:val="22"/>
          <w:szCs w:val="22"/>
        </w:rPr>
        <w:t xml:space="preserve"> </w:t>
      </w:r>
      <w:proofErr w:type="gramStart"/>
      <w:r w:rsidR="00476F58">
        <w:rPr>
          <w:sz w:val="22"/>
          <w:szCs w:val="22"/>
        </w:rPr>
        <w:t>in order to</w:t>
      </w:r>
      <w:proofErr w:type="gramEnd"/>
      <w:r w:rsidR="00476F58">
        <w:rPr>
          <w:sz w:val="22"/>
          <w:szCs w:val="22"/>
        </w:rPr>
        <w:t xml:space="preserve"> deliver sufficient support for costs of refurbishing apartments and dwellings to be fit for </w:t>
      </w:r>
      <w:r w:rsidR="00405029">
        <w:rPr>
          <w:sz w:val="22"/>
          <w:szCs w:val="22"/>
        </w:rPr>
        <w:t>connecting to the new systems?</w:t>
      </w:r>
    </w:p>
    <w:p w14:paraId="34A22085" w14:textId="35CFC055" w:rsidR="007C78A9" w:rsidRDefault="00405029" w:rsidP="003E572B">
      <w:pPr>
        <w:pStyle w:val="Default"/>
        <w:numPr>
          <w:ilvl w:val="0"/>
          <w:numId w:val="6"/>
        </w:numPr>
        <w:spacing w:after="240" w:line="276" w:lineRule="auto"/>
        <w:jc w:val="both"/>
        <w:rPr>
          <w:sz w:val="22"/>
          <w:szCs w:val="22"/>
        </w:rPr>
      </w:pPr>
      <w:r>
        <w:rPr>
          <w:sz w:val="22"/>
          <w:szCs w:val="22"/>
        </w:rPr>
        <w:t xml:space="preserve">One of the burdens of energy efficient refurbishment of the housing stock is the lack of </w:t>
      </w:r>
      <w:r w:rsidR="00A542C7">
        <w:rPr>
          <w:sz w:val="22"/>
          <w:szCs w:val="22"/>
        </w:rPr>
        <w:t xml:space="preserve">access to knowledge on energy efficient </w:t>
      </w:r>
      <w:r>
        <w:rPr>
          <w:sz w:val="22"/>
          <w:szCs w:val="22"/>
        </w:rPr>
        <w:t xml:space="preserve">and to </w:t>
      </w:r>
      <w:proofErr w:type="gramStart"/>
      <w:r>
        <w:rPr>
          <w:sz w:val="22"/>
          <w:szCs w:val="22"/>
        </w:rPr>
        <w:t>state of the art</w:t>
      </w:r>
      <w:proofErr w:type="gramEnd"/>
      <w:r>
        <w:rPr>
          <w:sz w:val="22"/>
          <w:szCs w:val="22"/>
        </w:rPr>
        <w:t xml:space="preserve"> solutions already accessible on the market. </w:t>
      </w:r>
      <w:r w:rsidR="00E43183">
        <w:rPr>
          <w:sz w:val="22"/>
          <w:szCs w:val="22"/>
        </w:rPr>
        <w:t>Shall we suggest financing these measures too from the new Fund?</w:t>
      </w:r>
    </w:p>
    <w:p w14:paraId="3888F14B" w14:textId="199EB354" w:rsidR="00251F67" w:rsidRDefault="00287B12" w:rsidP="003E572B">
      <w:pPr>
        <w:pStyle w:val="Default"/>
        <w:numPr>
          <w:ilvl w:val="0"/>
          <w:numId w:val="6"/>
        </w:numPr>
        <w:spacing w:after="240" w:line="276" w:lineRule="auto"/>
        <w:jc w:val="both"/>
        <w:rPr>
          <w:sz w:val="22"/>
          <w:szCs w:val="22"/>
        </w:rPr>
      </w:pPr>
      <w:r>
        <w:rPr>
          <w:sz w:val="22"/>
          <w:szCs w:val="22"/>
        </w:rPr>
        <w:t xml:space="preserve">Energy efficiency presupposes </w:t>
      </w:r>
      <w:r w:rsidR="00F008D5">
        <w:rPr>
          <w:sz w:val="22"/>
          <w:szCs w:val="22"/>
        </w:rPr>
        <w:t xml:space="preserve">investment costs. Could </w:t>
      </w:r>
      <w:r w:rsidR="00447E5E">
        <w:rPr>
          <w:sz w:val="22"/>
          <w:szCs w:val="22"/>
        </w:rPr>
        <w:t>household</w:t>
      </w:r>
      <w:r w:rsidR="00F008D5">
        <w:rPr>
          <w:sz w:val="22"/>
          <w:szCs w:val="22"/>
        </w:rPr>
        <w:t>s with a favourable</w:t>
      </w:r>
      <w:r w:rsidR="00447E5E">
        <w:rPr>
          <w:sz w:val="22"/>
          <w:szCs w:val="22"/>
        </w:rPr>
        <w:t xml:space="preserve"> energy </w:t>
      </w:r>
      <w:r w:rsidR="00F008D5">
        <w:rPr>
          <w:sz w:val="22"/>
          <w:szCs w:val="22"/>
        </w:rPr>
        <w:t xml:space="preserve">mix and efficiency </w:t>
      </w:r>
      <w:r w:rsidR="00447E5E">
        <w:rPr>
          <w:sz w:val="22"/>
          <w:szCs w:val="22"/>
        </w:rPr>
        <w:t xml:space="preserve">certificate </w:t>
      </w:r>
      <w:r w:rsidR="00B602C2">
        <w:rPr>
          <w:sz w:val="22"/>
          <w:szCs w:val="22"/>
        </w:rPr>
        <w:t>receive support in form of</w:t>
      </w:r>
      <w:r w:rsidR="00447E5E">
        <w:rPr>
          <w:sz w:val="22"/>
          <w:szCs w:val="22"/>
        </w:rPr>
        <w:t xml:space="preserve"> lower tax</w:t>
      </w:r>
      <w:r w:rsidR="00CC3FCC">
        <w:rPr>
          <w:sz w:val="22"/>
          <w:szCs w:val="22"/>
        </w:rPr>
        <w:t>?</w:t>
      </w:r>
    </w:p>
    <w:p w14:paraId="78526A77" w14:textId="0BFAB246" w:rsidR="00CC3FCC" w:rsidRDefault="00CC3FCC" w:rsidP="003E572B">
      <w:pPr>
        <w:pStyle w:val="Default"/>
        <w:numPr>
          <w:ilvl w:val="0"/>
          <w:numId w:val="6"/>
        </w:numPr>
        <w:spacing w:after="240" w:line="276" w:lineRule="auto"/>
        <w:jc w:val="both"/>
        <w:rPr>
          <w:sz w:val="22"/>
          <w:szCs w:val="22"/>
        </w:rPr>
      </w:pPr>
      <w:r>
        <w:rPr>
          <w:sz w:val="22"/>
          <w:szCs w:val="22"/>
        </w:rPr>
        <w:t xml:space="preserve">Do we have the necessary IT&amp;C knowledge and resources for establishing tailored energy taxes using </w:t>
      </w:r>
      <w:r w:rsidR="00153D76">
        <w:rPr>
          <w:sz w:val="22"/>
          <w:szCs w:val="22"/>
        </w:rPr>
        <w:t>household related big data? Do we need actions in this respect?</w:t>
      </w:r>
    </w:p>
    <w:p w14:paraId="4AD8AF95" w14:textId="20DBC64E" w:rsidR="00E921FF" w:rsidRDefault="00BC0AF0" w:rsidP="003E572B">
      <w:pPr>
        <w:pStyle w:val="Default"/>
        <w:numPr>
          <w:ilvl w:val="0"/>
          <w:numId w:val="6"/>
        </w:numPr>
        <w:spacing w:after="240" w:line="276" w:lineRule="auto"/>
        <w:jc w:val="both"/>
        <w:rPr>
          <w:sz w:val="22"/>
          <w:szCs w:val="22"/>
        </w:rPr>
      </w:pPr>
      <w:r>
        <w:rPr>
          <w:sz w:val="22"/>
          <w:szCs w:val="22"/>
        </w:rPr>
        <w:t xml:space="preserve">We face the most severe </w:t>
      </w:r>
      <w:r w:rsidR="001F6EBF">
        <w:rPr>
          <w:sz w:val="22"/>
          <w:szCs w:val="22"/>
        </w:rPr>
        <w:t xml:space="preserve">rise of </w:t>
      </w:r>
      <w:r w:rsidR="00FB1ADA">
        <w:rPr>
          <w:sz w:val="22"/>
          <w:szCs w:val="22"/>
        </w:rPr>
        <w:t xml:space="preserve">energy bills </w:t>
      </w:r>
      <w:r w:rsidR="00F87077">
        <w:rPr>
          <w:sz w:val="22"/>
          <w:szCs w:val="22"/>
        </w:rPr>
        <w:t>in these months. Should we contribute for</w:t>
      </w:r>
      <w:r w:rsidR="001F6EBF">
        <w:rPr>
          <w:sz w:val="22"/>
          <w:szCs w:val="22"/>
        </w:rPr>
        <w:t xml:space="preserve"> </w:t>
      </w:r>
      <w:r w:rsidR="00352F6C">
        <w:rPr>
          <w:sz w:val="22"/>
          <w:szCs w:val="22"/>
        </w:rPr>
        <w:t>creat</w:t>
      </w:r>
      <w:r w:rsidR="00F87077">
        <w:rPr>
          <w:sz w:val="22"/>
          <w:szCs w:val="22"/>
        </w:rPr>
        <w:t xml:space="preserve">ing </w:t>
      </w:r>
      <w:r w:rsidR="00352F6C">
        <w:rPr>
          <w:sz w:val="22"/>
          <w:szCs w:val="22"/>
        </w:rPr>
        <w:t xml:space="preserve">solutions for supporting the most vulnerable </w:t>
      </w:r>
      <w:r w:rsidR="00A543F7">
        <w:rPr>
          <w:sz w:val="22"/>
          <w:szCs w:val="22"/>
        </w:rPr>
        <w:t xml:space="preserve">in case of extreme price </w:t>
      </w:r>
      <w:r w:rsidR="000142BA">
        <w:rPr>
          <w:sz w:val="22"/>
          <w:szCs w:val="22"/>
        </w:rPr>
        <w:t>volatility</w:t>
      </w:r>
      <w:r w:rsidR="00F87077">
        <w:rPr>
          <w:sz w:val="22"/>
          <w:szCs w:val="22"/>
        </w:rPr>
        <w:t xml:space="preserve"> in the future?</w:t>
      </w:r>
    </w:p>
    <w:p w14:paraId="444D8AD5" w14:textId="54A29480" w:rsidR="00266486" w:rsidRDefault="00862725" w:rsidP="003E572B">
      <w:pPr>
        <w:pStyle w:val="Default"/>
        <w:numPr>
          <w:ilvl w:val="0"/>
          <w:numId w:val="6"/>
        </w:numPr>
        <w:spacing w:after="240" w:line="276" w:lineRule="auto"/>
        <w:jc w:val="both"/>
        <w:rPr>
          <w:sz w:val="22"/>
          <w:szCs w:val="22"/>
        </w:rPr>
      </w:pPr>
      <w:r>
        <w:rPr>
          <w:sz w:val="22"/>
          <w:szCs w:val="22"/>
        </w:rPr>
        <w:t xml:space="preserve">The future of power generation is much more decentralised. Do we need more </w:t>
      </w:r>
      <w:r w:rsidR="000E6D06">
        <w:rPr>
          <w:sz w:val="22"/>
          <w:szCs w:val="22"/>
        </w:rPr>
        <w:t xml:space="preserve">tailored </w:t>
      </w:r>
      <w:r w:rsidR="003841B9">
        <w:rPr>
          <w:sz w:val="22"/>
          <w:szCs w:val="22"/>
        </w:rPr>
        <w:t>support</w:t>
      </w:r>
      <w:r w:rsidR="000E6D06">
        <w:rPr>
          <w:sz w:val="22"/>
          <w:szCs w:val="22"/>
        </w:rPr>
        <w:t xml:space="preserve"> for</w:t>
      </w:r>
      <w:r w:rsidR="003841B9">
        <w:rPr>
          <w:sz w:val="22"/>
          <w:szCs w:val="22"/>
        </w:rPr>
        <w:t xml:space="preserve"> decentralised </w:t>
      </w:r>
      <w:r w:rsidR="000E6D06">
        <w:rPr>
          <w:sz w:val="22"/>
          <w:szCs w:val="22"/>
        </w:rPr>
        <w:t>smart networks</w:t>
      </w:r>
      <w:r w:rsidR="003841B9">
        <w:rPr>
          <w:sz w:val="22"/>
          <w:szCs w:val="22"/>
        </w:rPr>
        <w:t xml:space="preserve"> and </w:t>
      </w:r>
      <w:r w:rsidR="00C22E4A">
        <w:rPr>
          <w:sz w:val="22"/>
          <w:szCs w:val="22"/>
        </w:rPr>
        <w:t>eliminate unnecessary red tape</w:t>
      </w:r>
      <w:r w:rsidR="000E6D06">
        <w:rPr>
          <w:sz w:val="22"/>
          <w:szCs w:val="22"/>
        </w:rPr>
        <w:t>?</w:t>
      </w:r>
    </w:p>
    <w:p w14:paraId="5276085A" w14:textId="7A848903" w:rsidR="003841B9" w:rsidRDefault="0096368A" w:rsidP="003E572B">
      <w:pPr>
        <w:pStyle w:val="Default"/>
        <w:numPr>
          <w:ilvl w:val="0"/>
          <w:numId w:val="6"/>
        </w:numPr>
        <w:spacing w:after="240" w:line="276" w:lineRule="auto"/>
        <w:jc w:val="both"/>
        <w:rPr>
          <w:sz w:val="22"/>
          <w:szCs w:val="22"/>
        </w:rPr>
      </w:pPr>
      <w:r>
        <w:rPr>
          <w:sz w:val="22"/>
          <w:szCs w:val="22"/>
        </w:rPr>
        <w:t>Grants from ESIF and member states` budget are already accessible for household</w:t>
      </w:r>
      <w:r w:rsidR="00B3316D">
        <w:rPr>
          <w:sz w:val="22"/>
          <w:szCs w:val="22"/>
        </w:rPr>
        <w:t>s</w:t>
      </w:r>
      <w:r w:rsidR="00DC3AC8">
        <w:rPr>
          <w:sz w:val="22"/>
          <w:szCs w:val="22"/>
        </w:rPr>
        <w:t xml:space="preserve"> </w:t>
      </w:r>
      <w:r w:rsidR="00DC3AC8">
        <w:rPr>
          <w:sz w:val="22"/>
          <w:szCs w:val="22"/>
        </w:rPr>
        <w:t>and SMEs</w:t>
      </w:r>
      <w:r w:rsidR="00B3316D">
        <w:rPr>
          <w:sz w:val="22"/>
          <w:szCs w:val="22"/>
        </w:rPr>
        <w:t>, but red tape is still present.</w:t>
      </w:r>
      <w:r>
        <w:rPr>
          <w:sz w:val="22"/>
          <w:szCs w:val="22"/>
        </w:rPr>
        <w:t xml:space="preserve"> Given </w:t>
      </w:r>
      <w:proofErr w:type="gramStart"/>
      <w:r>
        <w:rPr>
          <w:sz w:val="22"/>
          <w:szCs w:val="22"/>
        </w:rPr>
        <w:t xml:space="preserve">the </w:t>
      </w:r>
      <w:r w:rsidR="00B3316D">
        <w:rPr>
          <w:sz w:val="22"/>
          <w:szCs w:val="22"/>
        </w:rPr>
        <w:t>,</w:t>
      </w:r>
      <w:proofErr w:type="gramEnd"/>
      <w:r w:rsidR="00B3316D">
        <w:rPr>
          <w:sz w:val="22"/>
          <w:szCs w:val="22"/>
        </w:rPr>
        <w:t xml:space="preserve"> could we agree on</w:t>
      </w:r>
      <w:r>
        <w:rPr>
          <w:sz w:val="22"/>
          <w:szCs w:val="22"/>
        </w:rPr>
        <w:t xml:space="preserve"> </w:t>
      </w:r>
      <w:r w:rsidR="00B3316D">
        <w:rPr>
          <w:sz w:val="22"/>
          <w:szCs w:val="22"/>
        </w:rPr>
        <w:t xml:space="preserve">the overall need for </w:t>
      </w:r>
      <w:r w:rsidR="003841B9">
        <w:rPr>
          <w:sz w:val="22"/>
          <w:szCs w:val="22"/>
        </w:rPr>
        <w:t>simplify</w:t>
      </w:r>
      <w:r w:rsidR="00B3316D">
        <w:rPr>
          <w:sz w:val="22"/>
          <w:szCs w:val="22"/>
        </w:rPr>
        <w:t>ing</w:t>
      </w:r>
      <w:r w:rsidR="003841B9">
        <w:rPr>
          <w:sz w:val="22"/>
          <w:szCs w:val="22"/>
        </w:rPr>
        <w:t xml:space="preserve"> access to all EU Funds for </w:t>
      </w:r>
      <w:r w:rsidR="00266486">
        <w:rPr>
          <w:sz w:val="22"/>
          <w:szCs w:val="22"/>
        </w:rPr>
        <w:t>households and micro SMEs</w:t>
      </w:r>
      <w:r w:rsidR="00C7424D">
        <w:rPr>
          <w:sz w:val="22"/>
          <w:szCs w:val="22"/>
        </w:rPr>
        <w:t xml:space="preserve"> for acquiring knowledge, expertise, design and </w:t>
      </w:r>
      <w:r w:rsidR="00DA4906">
        <w:rPr>
          <w:sz w:val="22"/>
          <w:szCs w:val="22"/>
        </w:rPr>
        <w:t>installations of energy efficient solutions</w:t>
      </w:r>
      <w:r w:rsidR="00B3316D">
        <w:rPr>
          <w:sz w:val="22"/>
          <w:szCs w:val="22"/>
        </w:rPr>
        <w:t>?</w:t>
      </w:r>
    </w:p>
    <w:p w14:paraId="52EC195D" w14:textId="44D855AF" w:rsidR="0057426D" w:rsidRDefault="00DC3AC8" w:rsidP="003E572B">
      <w:pPr>
        <w:pStyle w:val="Default"/>
        <w:numPr>
          <w:ilvl w:val="0"/>
          <w:numId w:val="6"/>
        </w:numPr>
        <w:spacing w:after="240" w:line="276" w:lineRule="auto"/>
        <w:jc w:val="both"/>
        <w:rPr>
          <w:sz w:val="22"/>
          <w:szCs w:val="22"/>
        </w:rPr>
      </w:pPr>
      <w:r>
        <w:rPr>
          <w:sz w:val="22"/>
          <w:szCs w:val="22"/>
        </w:rPr>
        <w:t xml:space="preserve">Energy prices and the general purchasing power </w:t>
      </w:r>
      <w:r w:rsidR="005D2FE3">
        <w:rPr>
          <w:sz w:val="22"/>
          <w:szCs w:val="22"/>
        </w:rPr>
        <w:t>are</w:t>
      </w:r>
      <w:r>
        <w:rPr>
          <w:sz w:val="22"/>
          <w:szCs w:val="22"/>
        </w:rPr>
        <w:t xml:space="preserve"> very poorly </w:t>
      </w:r>
      <w:r w:rsidR="00114AE9">
        <w:rPr>
          <w:sz w:val="22"/>
          <w:szCs w:val="22"/>
        </w:rPr>
        <w:t xml:space="preserve">connected, </w:t>
      </w:r>
      <w:r w:rsidR="00F62DCE">
        <w:rPr>
          <w:sz w:val="22"/>
          <w:szCs w:val="22"/>
        </w:rPr>
        <w:t>for example power has a higher price in Romania than is Sweden</w:t>
      </w:r>
      <w:r w:rsidR="009B6820">
        <w:rPr>
          <w:sz w:val="22"/>
          <w:szCs w:val="22"/>
        </w:rPr>
        <w:t xml:space="preserve"> – but the allocation of the Fund is calculated using </w:t>
      </w:r>
      <w:r w:rsidR="009B6820">
        <w:rPr>
          <w:sz w:val="22"/>
          <w:szCs w:val="22"/>
        </w:rPr>
        <w:lastRenderedPageBreak/>
        <w:t xml:space="preserve">PPS. </w:t>
      </w:r>
      <w:r w:rsidR="005F312B">
        <w:rPr>
          <w:sz w:val="22"/>
          <w:szCs w:val="22"/>
        </w:rPr>
        <w:t xml:space="preserve">Should we ask the EP and the Council to find a </w:t>
      </w:r>
      <w:r w:rsidR="008B7936">
        <w:rPr>
          <w:sz w:val="22"/>
          <w:szCs w:val="22"/>
        </w:rPr>
        <w:t>fit for purpose substitute for GNI in</w:t>
      </w:r>
      <w:r w:rsidR="0057426D">
        <w:rPr>
          <w:sz w:val="22"/>
          <w:szCs w:val="22"/>
        </w:rPr>
        <w:t xml:space="preserve"> PPS</w:t>
      </w:r>
      <w:r w:rsidR="00F427BB">
        <w:rPr>
          <w:sz w:val="22"/>
          <w:szCs w:val="22"/>
        </w:rPr>
        <w:t xml:space="preserve"> in energy related issues</w:t>
      </w:r>
      <w:r w:rsidR="008B7936">
        <w:rPr>
          <w:sz w:val="22"/>
          <w:szCs w:val="22"/>
        </w:rPr>
        <w:t>?</w:t>
      </w:r>
    </w:p>
    <w:p w14:paraId="5A7E2D42" w14:textId="2CFA0275" w:rsidR="00C22E4A" w:rsidRDefault="00383A59" w:rsidP="003E572B">
      <w:pPr>
        <w:pStyle w:val="Default"/>
        <w:numPr>
          <w:ilvl w:val="0"/>
          <w:numId w:val="6"/>
        </w:numPr>
        <w:spacing w:after="240" w:line="276" w:lineRule="auto"/>
        <w:jc w:val="both"/>
        <w:rPr>
          <w:sz w:val="22"/>
          <w:szCs w:val="22"/>
        </w:rPr>
      </w:pPr>
      <w:r>
        <w:rPr>
          <w:sz w:val="22"/>
          <w:szCs w:val="22"/>
        </w:rPr>
        <w:t xml:space="preserve">Should the </w:t>
      </w:r>
      <w:proofErr w:type="spellStart"/>
      <w:r>
        <w:rPr>
          <w:sz w:val="22"/>
          <w:szCs w:val="22"/>
        </w:rPr>
        <w:t>CoR</w:t>
      </w:r>
      <w:proofErr w:type="spellEnd"/>
      <w:r>
        <w:rPr>
          <w:sz w:val="22"/>
          <w:szCs w:val="22"/>
        </w:rPr>
        <w:t xml:space="preserve"> suggest member states to </w:t>
      </w:r>
      <w:r w:rsidR="00C22E4A">
        <w:rPr>
          <w:sz w:val="22"/>
          <w:szCs w:val="22"/>
        </w:rPr>
        <w:t>update urban and land us</w:t>
      </w:r>
      <w:r w:rsidR="007B433E">
        <w:rPr>
          <w:sz w:val="22"/>
          <w:szCs w:val="22"/>
        </w:rPr>
        <w:t xml:space="preserve">e planning, </w:t>
      </w:r>
      <w:r w:rsidR="00662298">
        <w:rPr>
          <w:sz w:val="22"/>
          <w:szCs w:val="22"/>
        </w:rPr>
        <w:t xml:space="preserve">access to </w:t>
      </w:r>
      <w:r w:rsidR="007B433E">
        <w:rPr>
          <w:sz w:val="22"/>
          <w:szCs w:val="22"/>
        </w:rPr>
        <w:t>construction permits</w:t>
      </w:r>
      <w:r w:rsidR="00662298">
        <w:rPr>
          <w:sz w:val="22"/>
          <w:szCs w:val="22"/>
        </w:rPr>
        <w:t xml:space="preserve"> related practices aiming at lower taxes, costs and </w:t>
      </w:r>
      <w:r w:rsidR="003E572B">
        <w:rPr>
          <w:sz w:val="22"/>
          <w:szCs w:val="22"/>
        </w:rPr>
        <w:t>avoided red tape</w:t>
      </w:r>
      <w:r>
        <w:rPr>
          <w:sz w:val="22"/>
          <w:szCs w:val="22"/>
        </w:rPr>
        <w:t xml:space="preserve">, and ask the Commission to </w:t>
      </w:r>
      <w:r w:rsidR="003F526B">
        <w:rPr>
          <w:sz w:val="22"/>
          <w:szCs w:val="22"/>
        </w:rPr>
        <w:t xml:space="preserve">make sure from ESIF or from the new Fund, member states are going to </w:t>
      </w:r>
      <w:r w:rsidR="003A63C6">
        <w:rPr>
          <w:sz w:val="22"/>
          <w:szCs w:val="22"/>
        </w:rPr>
        <w:t>have more suitable and flexible rules</w:t>
      </w:r>
      <w:r w:rsidR="000127E3">
        <w:rPr>
          <w:sz w:val="22"/>
          <w:szCs w:val="22"/>
        </w:rPr>
        <w:t xml:space="preserve"> in these areas?</w:t>
      </w:r>
    </w:p>
    <w:p w14:paraId="4DDBA468" w14:textId="2AEF66DA" w:rsidR="00F26D13" w:rsidRDefault="000127E3" w:rsidP="003E572B">
      <w:pPr>
        <w:pStyle w:val="Default"/>
        <w:numPr>
          <w:ilvl w:val="0"/>
          <w:numId w:val="6"/>
        </w:numPr>
        <w:spacing w:after="240" w:line="276" w:lineRule="auto"/>
        <w:jc w:val="both"/>
        <w:rPr>
          <w:sz w:val="22"/>
          <w:szCs w:val="22"/>
        </w:rPr>
      </w:pPr>
      <w:r>
        <w:rPr>
          <w:sz w:val="22"/>
          <w:szCs w:val="22"/>
        </w:rPr>
        <w:t>The decision making for the</w:t>
      </w:r>
      <w:r w:rsidR="001676F2">
        <w:rPr>
          <w:sz w:val="22"/>
          <w:szCs w:val="22"/>
        </w:rPr>
        <w:t xml:space="preserve"> recast of the</w:t>
      </w:r>
      <w:r>
        <w:rPr>
          <w:sz w:val="22"/>
          <w:szCs w:val="22"/>
        </w:rPr>
        <w:t xml:space="preserve"> energy tax</w:t>
      </w:r>
      <w:r w:rsidR="001676F2">
        <w:rPr>
          <w:sz w:val="22"/>
          <w:szCs w:val="22"/>
        </w:rPr>
        <w:t xml:space="preserve"> directive</w:t>
      </w:r>
      <w:r>
        <w:rPr>
          <w:sz w:val="22"/>
          <w:szCs w:val="22"/>
        </w:rPr>
        <w:t xml:space="preserve"> is based on the </w:t>
      </w:r>
      <w:r w:rsidR="00E50AFF">
        <w:rPr>
          <w:sz w:val="22"/>
          <w:szCs w:val="22"/>
        </w:rPr>
        <w:t>`</w:t>
      </w:r>
      <w:proofErr w:type="spellStart"/>
      <w:r>
        <w:rPr>
          <w:sz w:val="22"/>
          <w:szCs w:val="22"/>
        </w:rPr>
        <w:t>passerelle</w:t>
      </w:r>
      <w:proofErr w:type="spellEnd"/>
      <w:r>
        <w:rPr>
          <w:sz w:val="22"/>
          <w:szCs w:val="22"/>
        </w:rPr>
        <w:t xml:space="preserve"> clause</w:t>
      </w:r>
      <w:r w:rsidR="00E50AFF">
        <w:rPr>
          <w:sz w:val="22"/>
          <w:szCs w:val="22"/>
        </w:rPr>
        <w:t>`</w:t>
      </w:r>
      <w:r w:rsidR="001676F2">
        <w:rPr>
          <w:sz w:val="22"/>
          <w:szCs w:val="22"/>
        </w:rPr>
        <w:t xml:space="preserve">, that means </w:t>
      </w:r>
      <w:r w:rsidR="005E0045">
        <w:rPr>
          <w:sz w:val="22"/>
          <w:szCs w:val="22"/>
        </w:rPr>
        <w:t xml:space="preserve">there is no need for the unanimous vote of the member states. Could we argue that it might </w:t>
      </w:r>
      <w:r w:rsidR="00297028">
        <w:rPr>
          <w:sz w:val="22"/>
          <w:szCs w:val="22"/>
        </w:rPr>
        <w:t xml:space="preserve">do harm to the most vulnerable groups, </w:t>
      </w:r>
      <w:r w:rsidR="00A1348C">
        <w:rPr>
          <w:sz w:val="22"/>
          <w:szCs w:val="22"/>
        </w:rPr>
        <w:t>in the context that only a minority of member states has already high levels of energy poverty?</w:t>
      </w:r>
    </w:p>
    <w:p w14:paraId="73078D7E" w14:textId="77777777" w:rsidR="00DA4906" w:rsidRDefault="00DA4906" w:rsidP="00DA4906">
      <w:pPr>
        <w:pStyle w:val="Default"/>
        <w:spacing w:after="240" w:line="276" w:lineRule="auto"/>
        <w:jc w:val="both"/>
        <w:rPr>
          <w:sz w:val="22"/>
          <w:szCs w:val="22"/>
        </w:rPr>
      </w:pPr>
    </w:p>
    <w:p w14:paraId="58573DF5" w14:textId="26813EDD" w:rsidR="00DA4906" w:rsidRPr="00334D96" w:rsidRDefault="007E093B" w:rsidP="00DA4906">
      <w:pPr>
        <w:keepNext/>
        <w:numPr>
          <w:ilvl w:val="0"/>
          <w:numId w:val="3"/>
        </w:numPr>
        <w:overflowPunct w:val="0"/>
        <w:autoSpaceDE w:val="0"/>
        <w:autoSpaceDN w:val="0"/>
        <w:adjustRightInd w:val="0"/>
        <w:ind w:left="567" w:hanging="567"/>
        <w:textAlignment w:val="baseline"/>
        <w:rPr>
          <w:b/>
        </w:rPr>
      </w:pPr>
      <w:r>
        <w:rPr>
          <w:b/>
          <w:bCs/>
        </w:rPr>
        <w:t xml:space="preserve">DRAFT </w:t>
      </w:r>
      <w:r w:rsidR="00DA4906" w:rsidRPr="003A043C">
        <w:rPr>
          <w:b/>
          <w:bCs/>
        </w:rPr>
        <w:t>POLICY</w:t>
      </w:r>
      <w:r w:rsidR="00DA4906" w:rsidRPr="00334D96">
        <w:rPr>
          <w:b/>
        </w:rPr>
        <w:t xml:space="preserve"> RECOMMENDATIONS</w:t>
      </w:r>
    </w:p>
    <w:p w14:paraId="25F0C65C" w14:textId="77777777" w:rsidR="00DA4906" w:rsidRPr="00334D96" w:rsidRDefault="00DA4906" w:rsidP="00DA4906">
      <w:pPr>
        <w:keepNext/>
      </w:pPr>
    </w:p>
    <w:p w14:paraId="20F6868C" w14:textId="77777777" w:rsidR="00DA4906" w:rsidRPr="00334D96" w:rsidRDefault="00DA4906" w:rsidP="00DA4906">
      <w:pPr>
        <w:keepNext/>
      </w:pPr>
      <w:r w:rsidRPr="00334D96">
        <w:t xml:space="preserve">THE </w:t>
      </w:r>
      <w:r w:rsidRPr="00015196">
        <w:t xml:space="preserve">EUROPEAN </w:t>
      </w:r>
      <w:r w:rsidRPr="00334D96">
        <w:t>COMMITTEE OF THE REGIONS</w:t>
      </w:r>
    </w:p>
    <w:p w14:paraId="781B4087" w14:textId="77777777" w:rsidR="00DF6F4E" w:rsidRDefault="00DF6F4E" w:rsidP="00DF6F4E">
      <w:pPr>
        <w:pStyle w:val="Default"/>
        <w:spacing w:after="240" w:line="276" w:lineRule="auto"/>
        <w:jc w:val="both"/>
        <w:rPr>
          <w:sz w:val="22"/>
          <w:szCs w:val="22"/>
        </w:rPr>
      </w:pPr>
    </w:p>
    <w:p w14:paraId="3733FE1F" w14:textId="242FC39B" w:rsidR="00B364BF" w:rsidRDefault="00B364BF" w:rsidP="00B364BF">
      <w:pPr>
        <w:pStyle w:val="Default"/>
        <w:numPr>
          <w:ilvl w:val="0"/>
          <w:numId w:val="4"/>
        </w:numPr>
        <w:spacing w:after="240" w:line="276" w:lineRule="auto"/>
        <w:jc w:val="both"/>
        <w:rPr>
          <w:sz w:val="22"/>
          <w:szCs w:val="22"/>
        </w:rPr>
      </w:pPr>
      <w:r w:rsidRPr="00DE4FBF">
        <w:rPr>
          <w:sz w:val="22"/>
          <w:szCs w:val="22"/>
        </w:rPr>
        <w:t>Welcomes the proposal of a Social Climate Fund as</w:t>
      </w:r>
      <w:r>
        <w:rPr>
          <w:sz w:val="22"/>
          <w:szCs w:val="22"/>
        </w:rPr>
        <w:t xml:space="preserve"> a statement of solidarity and commitment to achieving a just and socially fair transition, as</w:t>
      </w:r>
      <w:r w:rsidRPr="00DE4FBF">
        <w:rPr>
          <w:sz w:val="22"/>
          <w:szCs w:val="22"/>
        </w:rPr>
        <w:t xml:space="preserve"> a key tool for supporting the citizens most affected by the transition towards climate neutrality, and as </w:t>
      </w:r>
      <w:r>
        <w:rPr>
          <w:sz w:val="22"/>
          <w:szCs w:val="22"/>
        </w:rPr>
        <w:t xml:space="preserve">an </w:t>
      </w:r>
      <w:r w:rsidRPr="00DE4FBF">
        <w:rPr>
          <w:sz w:val="22"/>
          <w:szCs w:val="22"/>
        </w:rPr>
        <w:t xml:space="preserve">answer to </w:t>
      </w:r>
      <w:r>
        <w:rPr>
          <w:sz w:val="22"/>
          <w:szCs w:val="22"/>
        </w:rPr>
        <w:t>our</w:t>
      </w:r>
      <w:r w:rsidRPr="00DE4FBF">
        <w:rPr>
          <w:sz w:val="22"/>
          <w:szCs w:val="22"/>
        </w:rPr>
        <w:t xml:space="preserve"> call for enhancing the integrity and operation of the EU Emission Trading Scheme </w:t>
      </w:r>
      <w:r>
        <w:rPr>
          <w:sz w:val="22"/>
          <w:szCs w:val="22"/>
        </w:rPr>
        <w:t xml:space="preserve">(ETS) </w:t>
      </w:r>
      <w:r w:rsidRPr="00DE4FBF">
        <w:rPr>
          <w:sz w:val="22"/>
          <w:szCs w:val="22"/>
        </w:rPr>
        <w:t xml:space="preserve">while providing support for vulnerable regions and </w:t>
      </w:r>
      <w:proofErr w:type="gramStart"/>
      <w:r w:rsidRPr="00DE4FBF">
        <w:rPr>
          <w:sz w:val="22"/>
          <w:szCs w:val="22"/>
        </w:rPr>
        <w:t>groups</w:t>
      </w:r>
      <w:r>
        <w:rPr>
          <w:sz w:val="22"/>
          <w:szCs w:val="22"/>
        </w:rPr>
        <w:t>;</w:t>
      </w:r>
      <w:proofErr w:type="gramEnd"/>
      <w:r w:rsidRPr="00DE4FBF">
        <w:rPr>
          <w:sz w:val="22"/>
          <w:szCs w:val="22"/>
        </w:rPr>
        <w:t xml:space="preserve"> </w:t>
      </w:r>
    </w:p>
    <w:p w14:paraId="03A8AA2B" w14:textId="77777777" w:rsidR="00B364BF" w:rsidRDefault="00B364BF" w:rsidP="00B364BF">
      <w:pPr>
        <w:pStyle w:val="Default"/>
        <w:numPr>
          <w:ilvl w:val="0"/>
          <w:numId w:val="4"/>
        </w:numPr>
        <w:spacing w:after="240" w:line="276" w:lineRule="auto"/>
        <w:jc w:val="both"/>
        <w:rPr>
          <w:sz w:val="22"/>
          <w:szCs w:val="22"/>
        </w:rPr>
      </w:pPr>
      <w:r w:rsidRPr="001F1A9D">
        <w:rPr>
          <w:sz w:val="22"/>
          <w:szCs w:val="22"/>
        </w:rPr>
        <w:t xml:space="preserve">Stresses that local and regional authorities are </w:t>
      </w:r>
      <w:r>
        <w:rPr>
          <w:sz w:val="22"/>
          <w:szCs w:val="22"/>
        </w:rPr>
        <w:t xml:space="preserve">very </w:t>
      </w:r>
      <w:r w:rsidRPr="001F1A9D">
        <w:rPr>
          <w:sz w:val="22"/>
          <w:szCs w:val="22"/>
        </w:rPr>
        <w:t>relevant actors in t</w:t>
      </w:r>
      <w:r>
        <w:rPr>
          <w:sz w:val="22"/>
          <w:szCs w:val="22"/>
        </w:rPr>
        <w:t xml:space="preserve">he field of energy and climate, and that they </w:t>
      </w:r>
      <w:r w:rsidRPr="001F1A9D">
        <w:rPr>
          <w:sz w:val="22"/>
          <w:szCs w:val="22"/>
        </w:rPr>
        <w:t xml:space="preserve">know best the </w:t>
      </w:r>
      <w:r>
        <w:rPr>
          <w:sz w:val="22"/>
          <w:szCs w:val="22"/>
        </w:rPr>
        <w:t xml:space="preserve">characteristic of the territories and the social and economic </w:t>
      </w:r>
      <w:r w:rsidRPr="001F1A9D">
        <w:rPr>
          <w:sz w:val="22"/>
          <w:szCs w:val="22"/>
        </w:rPr>
        <w:t>context in which these policies are implemented, as well as the most appropriate approach to take</w:t>
      </w:r>
      <w:r>
        <w:rPr>
          <w:sz w:val="22"/>
          <w:szCs w:val="22"/>
        </w:rPr>
        <w:t xml:space="preserve"> for enhancing their </w:t>
      </w:r>
      <w:proofErr w:type="gramStart"/>
      <w:r>
        <w:rPr>
          <w:sz w:val="22"/>
          <w:szCs w:val="22"/>
        </w:rPr>
        <w:t>effectivity;</w:t>
      </w:r>
      <w:proofErr w:type="gramEnd"/>
      <w:r>
        <w:rPr>
          <w:sz w:val="22"/>
          <w:szCs w:val="22"/>
        </w:rPr>
        <w:t xml:space="preserve"> </w:t>
      </w:r>
    </w:p>
    <w:p w14:paraId="7894F076" w14:textId="14B800AE" w:rsidR="00B364BF" w:rsidRDefault="00BF5887" w:rsidP="00F427BB">
      <w:pPr>
        <w:pStyle w:val="Default"/>
        <w:numPr>
          <w:ilvl w:val="0"/>
          <w:numId w:val="4"/>
        </w:numPr>
        <w:spacing w:after="240" w:line="276" w:lineRule="auto"/>
        <w:jc w:val="both"/>
        <w:rPr>
          <w:sz w:val="22"/>
          <w:szCs w:val="22"/>
        </w:rPr>
      </w:pPr>
      <w:r>
        <w:rPr>
          <w:sz w:val="22"/>
          <w:szCs w:val="22"/>
        </w:rPr>
        <w:t>U</w:t>
      </w:r>
      <w:r w:rsidR="00B364BF">
        <w:rPr>
          <w:sz w:val="22"/>
          <w:szCs w:val="22"/>
        </w:rPr>
        <w:t xml:space="preserve">nderlines that they </w:t>
      </w:r>
      <w:r w:rsidR="00B364BF" w:rsidRPr="001F1A9D">
        <w:rPr>
          <w:sz w:val="22"/>
          <w:szCs w:val="22"/>
        </w:rPr>
        <w:t>are uniquely placed</w:t>
      </w:r>
      <w:r w:rsidR="00B364BF">
        <w:rPr>
          <w:sz w:val="22"/>
          <w:szCs w:val="22"/>
        </w:rPr>
        <w:t xml:space="preserve"> to take action for fostering decarbonisation, given that m</w:t>
      </w:r>
      <w:r w:rsidR="00B364BF" w:rsidRPr="00CF58EF">
        <w:rPr>
          <w:sz w:val="22"/>
          <w:szCs w:val="22"/>
        </w:rPr>
        <w:t xml:space="preserve">ost of the measures related to climate-targets have a </w:t>
      </w:r>
      <w:r w:rsidR="00B364BF">
        <w:rPr>
          <w:sz w:val="22"/>
          <w:szCs w:val="22"/>
        </w:rPr>
        <w:t>specific territorial dimension and a</w:t>
      </w:r>
      <w:r w:rsidR="00B364BF" w:rsidRPr="00CF58EF">
        <w:rPr>
          <w:sz w:val="22"/>
          <w:szCs w:val="22"/>
        </w:rPr>
        <w:t xml:space="preserve">s energy service providers and significant purchasers of energy </w:t>
      </w:r>
      <w:proofErr w:type="gramStart"/>
      <w:r w:rsidR="00B364BF" w:rsidRPr="00CF58EF">
        <w:rPr>
          <w:sz w:val="22"/>
          <w:szCs w:val="22"/>
        </w:rPr>
        <w:t>services</w:t>
      </w:r>
      <w:r w:rsidR="00B364BF">
        <w:rPr>
          <w:sz w:val="22"/>
          <w:szCs w:val="22"/>
        </w:rPr>
        <w:t>;</w:t>
      </w:r>
      <w:proofErr w:type="gramEnd"/>
      <w:r w:rsidR="00B364BF">
        <w:rPr>
          <w:sz w:val="22"/>
          <w:szCs w:val="22"/>
        </w:rPr>
        <w:t xml:space="preserve"> </w:t>
      </w:r>
    </w:p>
    <w:p w14:paraId="04D9CB98" w14:textId="57F08A66" w:rsidR="00B364BF" w:rsidRPr="00B677E3" w:rsidRDefault="00BF5887" w:rsidP="00F427BB">
      <w:pPr>
        <w:pStyle w:val="Default"/>
        <w:numPr>
          <w:ilvl w:val="0"/>
          <w:numId w:val="4"/>
        </w:numPr>
        <w:spacing w:after="240" w:line="276" w:lineRule="auto"/>
        <w:jc w:val="both"/>
        <w:rPr>
          <w:sz w:val="22"/>
          <w:szCs w:val="22"/>
        </w:rPr>
      </w:pPr>
      <w:r>
        <w:rPr>
          <w:sz w:val="22"/>
          <w:szCs w:val="22"/>
        </w:rPr>
        <w:t>P</w:t>
      </w:r>
      <w:r w:rsidR="00B364BF">
        <w:rPr>
          <w:sz w:val="22"/>
          <w:szCs w:val="22"/>
        </w:rPr>
        <w:t xml:space="preserve">oints out that the success of the instrument requires </w:t>
      </w:r>
      <w:r w:rsidR="00B364BF" w:rsidRPr="005F6CD9">
        <w:rPr>
          <w:sz w:val="22"/>
          <w:szCs w:val="22"/>
        </w:rPr>
        <w:t>delivering tailor-made interventions meeting the specific needs of EU territories</w:t>
      </w:r>
      <w:r w:rsidR="00B364BF">
        <w:rPr>
          <w:sz w:val="22"/>
          <w:szCs w:val="22"/>
        </w:rPr>
        <w:t>.</w:t>
      </w:r>
    </w:p>
    <w:p w14:paraId="326428E9" w14:textId="77777777" w:rsidR="00B364BF" w:rsidRDefault="00B364BF" w:rsidP="00B364BF">
      <w:pPr>
        <w:pStyle w:val="Default"/>
        <w:numPr>
          <w:ilvl w:val="0"/>
          <w:numId w:val="4"/>
        </w:numPr>
        <w:spacing w:after="240" w:line="276" w:lineRule="auto"/>
        <w:jc w:val="both"/>
        <w:rPr>
          <w:sz w:val="22"/>
          <w:szCs w:val="22"/>
        </w:rPr>
      </w:pPr>
      <w:r>
        <w:rPr>
          <w:sz w:val="22"/>
          <w:szCs w:val="22"/>
        </w:rPr>
        <w:t>Supports</w:t>
      </w:r>
      <w:r w:rsidRPr="00276B39">
        <w:rPr>
          <w:sz w:val="22"/>
          <w:szCs w:val="22"/>
        </w:rPr>
        <w:t xml:space="preserve"> the European Union' commitment to increase climate ambition and its disposition to adapt the instruments required for an effective reduction of the greenhouse gas emissions, particularly the EU Emissions Trading System (ETS), as a way to respond and address to the climate emergency, considering that the impact of decarbonisation activities will affect citizens and territories unequally and irregularly, and stressing the need to define tailored measures that can adjust to the specific requirements of the regions and cities; </w:t>
      </w:r>
    </w:p>
    <w:p w14:paraId="22253EA9" w14:textId="50688AF2" w:rsidR="00B364BF" w:rsidRDefault="006E5E3E" w:rsidP="006E5E3E">
      <w:pPr>
        <w:pStyle w:val="Default"/>
        <w:numPr>
          <w:ilvl w:val="0"/>
          <w:numId w:val="4"/>
        </w:numPr>
        <w:spacing w:after="240" w:line="276" w:lineRule="auto"/>
        <w:jc w:val="both"/>
        <w:rPr>
          <w:sz w:val="22"/>
          <w:szCs w:val="22"/>
        </w:rPr>
      </w:pPr>
      <w:r>
        <w:rPr>
          <w:sz w:val="22"/>
          <w:szCs w:val="22"/>
        </w:rPr>
        <w:t>C</w:t>
      </w:r>
      <w:r w:rsidR="00B364BF" w:rsidRPr="00592AB8">
        <w:rPr>
          <w:sz w:val="22"/>
          <w:szCs w:val="22"/>
        </w:rPr>
        <w:t xml:space="preserve">alls </w:t>
      </w:r>
      <w:r w:rsidR="00B364BF">
        <w:rPr>
          <w:sz w:val="22"/>
          <w:szCs w:val="22"/>
        </w:rPr>
        <w:t>for</w:t>
      </w:r>
      <w:r w:rsidR="00B364BF" w:rsidRPr="00592AB8">
        <w:rPr>
          <w:sz w:val="22"/>
          <w:szCs w:val="22"/>
        </w:rPr>
        <w:t xml:space="preserve"> the EU to take this opportunity to strengthen action to address energy poverty by taking the lead in solidifying legislation and catalysing action to tackle it taking into account the differences and particularities of each region or territory, through a firm cross-cutting response </w:t>
      </w:r>
      <w:r w:rsidR="00B364BF" w:rsidRPr="00592AB8">
        <w:rPr>
          <w:sz w:val="22"/>
          <w:szCs w:val="22"/>
        </w:rPr>
        <w:lastRenderedPageBreak/>
        <w:t xml:space="preserve">across social, consumer, taxation, energy and climate policies, and by striving for </w:t>
      </w:r>
      <w:r w:rsidR="00B364BF">
        <w:rPr>
          <w:sz w:val="22"/>
          <w:szCs w:val="22"/>
        </w:rPr>
        <w:t xml:space="preserve">a better </w:t>
      </w:r>
      <w:r w:rsidR="00B364BF" w:rsidRPr="00592AB8">
        <w:rPr>
          <w:sz w:val="22"/>
          <w:szCs w:val="22"/>
        </w:rPr>
        <w:t>understand</w:t>
      </w:r>
      <w:r w:rsidR="00B364BF">
        <w:rPr>
          <w:sz w:val="22"/>
          <w:szCs w:val="22"/>
        </w:rPr>
        <w:t>ing</w:t>
      </w:r>
      <w:r w:rsidR="00B364BF" w:rsidRPr="00592AB8">
        <w:rPr>
          <w:sz w:val="22"/>
          <w:szCs w:val="22"/>
        </w:rPr>
        <w:t xml:space="preserve"> </w:t>
      </w:r>
      <w:r w:rsidR="00B364BF">
        <w:rPr>
          <w:sz w:val="22"/>
          <w:szCs w:val="22"/>
        </w:rPr>
        <w:t>of its</w:t>
      </w:r>
      <w:r w:rsidR="00B364BF" w:rsidRPr="00592AB8">
        <w:rPr>
          <w:sz w:val="22"/>
          <w:szCs w:val="22"/>
        </w:rPr>
        <w:t xml:space="preserve"> </w:t>
      </w:r>
      <w:proofErr w:type="gramStart"/>
      <w:r w:rsidR="00B364BF" w:rsidRPr="00592AB8">
        <w:rPr>
          <w:sz w:val="22"/>
          <w:szCs w:val="22"/>
        </w:rPr>
        <w:t>drivers;</w:t>
      </w:r>
      <w:proofErr w:type="gramEnd"/>
    </w:p>
    <w:p w14:paraId="173F883C" w14:textId="77777777" w:rsidR="00B364BF" w:rsidRPr="00D02C85" w:rsidRDefault="00B364BF" w:rsidP="00B364BF">
      <w:pPr>
        <w:pStyle w:val="Default"/>
        <w:numPr>
          <w:ilvl w:val="0"/>
          <w:numId w:val="4"/>
        </w:numPr>
        <w:spacing w:after="240" w:line="276" w:lineRule="auto"/>
        <w:jc w:val="both"/>
        <w:rPr>
          <w:sz w:val="22"/>
          <w:szCs w:val="22"/>
        </w:rPr>
      </w:pPr>
      <w:r>
        <w:rPr>
          <w:sz w:val="22"/>
          <w:szCs w:val="22"/>
        </w:rPr>
        <w:t xml:space="preserve">Regrets the lack of a concrete and specific impact assessment carried out before launching the proposal of the Social Climate Fund that would have allowed an accurate </w:t>
      </w:r>
      <w:r w:rsidRPr="00D02C85">
        <w:rPr>
          <w:sz w:val="22"/>
          <w:szCs w:val="22"/>
        </w:rPr>
        <w:t>evaluation of distributional impacts</w:t>
      </w:r>
      <w:r>
        <w:rPr>
          <w:sz w:val="22"/>
          <w:szCs w:val="22"/>
        </w:rPr>
        <w:t xml:space="preserve"> of the mechanism, functioning, management and measures of the Fund, focusing on the consequences for the most vulnerable citizens at the local and regional level, and permitting a better identification of the economically weakest households, in order to precisely channel the temporary targeted direct income support towards those who needs it the most.</w:t>
      </w:r>
    </w:p>
    <w:p w14:paraId="4D234619" w14:textId="36C4DB72" w:rsidR="00B364BF" w:rsidRDefault="002B62BA" w:rsidP="006E5E3E">
      <w:pPr>
        <w:pStyle w:val="Default"/>
        <w:numPr>
          <w:ilvl w:val="0"/>
          <w:numId w:val="4"/>
        </w:numPr>
        <w:spacing w:after="240" w:line="276" w:lineRule="auto"/>
        <w:jc w:val="both"/>
        <w:rPr>
          <w:sz w:val="22"/>
          <w:szCs w:val="22"/>
        </w:rPr>
      </w:pPr>
      <w:r>
        <w:rPr>
          <w:sz w:val="22"/>
          <w:szCs w:val="22"/>
        </w:rPr>
        <w:t>C</w:t>
      </w:r>
      <w:r w:rsidR="00B364BF">
        <w:rPr>
          <w:sz w:val="22"/>
          <w:szCs w:val="22"/>
        </w:rPr>
        <w:t xml:space="preserve">alls for a recognition of its consideration </w:t>
      </w:r>
      <w:r w:rsidR="00B364BF" w:rsidRPr="00F80414">
        <w:rPr>
          <w:sz w:val="22"/>
          <w:szCs w:val="22"/>
        </w:rPr>
        <w:t>as key contributors for these Plans, given that they are the level of government closest to citizen</w:t>
      </w:r>
      <w:r w:rsidR="00B364BF">
        <w:rPr>
          <w:sz w:val="22"/>
          <w:szCs w:val="22"/>
        </w:rPr>
        <w:t xml:space="preserve">s and they can provide great </w:t>
      </w:r>
      <w:r w:rsidR="00B364BF" w:rsidRPr="001D6017">
        <w:rPr>
          <w:sz w:val="22"/>
          <w:szCs w:val="22"/>
        </w:rPr>
        <w:t>knowledge and expertise developed on the ground</w:t>
      </w:r>
      <w:r w:rsidR="00B364BF" w:rsidRPr="00F80414">
        <w:rPr>
          <w:sz w:val="22"/>
          <w:szCs w:val="22"/>
        </w:rPr>
        <w:t xml:space="preserve">, while ensuring that the drafting of Social Climate Plans does not add an administrative burden to the </w:t>
      </w:r>
      <w:proofErr w:type="gramStart"/>
      <w:r w:rsidR="00B364BF" w:rsidRPr="00F80414">
        <w:rPr>
          <w:sz w:val="22"/>
          <w:szCs w:val="22"/>
        </w:rPr>
        <w:t>LRAs</w:t>
      </w:r>
      <w:r w:rsidR="00B364BF">
        <w:rPr>
          <w:sz w:val="22"/>
          <w:szCs w:val="22"/>
        </w:rPr>
        <w:t>;</w:t>
      </w:r>
      <w:proofErr w:type="gramEnd"/>
      <w:r w:rsidR="00B364BF">
        <w:rPr>
          <w:sz w:val="22"/>
          <w:szCs w:val="22"/>
        </w:rPr>
        <w:t xml:space="preserve"> </w:t>
      </w:r>
    </w:p>
    <w:p w14:paraId="5D45099E" w14:textId="1E4B3C58" w:rsidR="00B364BF" w:rsidRPr="00145C8B" w:rsidRDefault="002B62BA" w:rsidP="006E5E3E">
      <w:pPr>
        <w:pStyle w:val="Default"/>
        <w:numPr>
          <w:ilvl w:val="0"/>
          <w:numId w:val="4"/>
        </w:numPr>
        <w:spacing w:after="240" w:line="276" w:lineRule="auto"/>
        <w:jc w:val="both"/>
        <w:rPr>
          <w:sz w:val="22"/>
          <w:szCs w:val="22"/>
        </w:rPr>
      </w:pPr>
      <w:r>
        <w:rPr>
          <w:sz w:val="22"/>
          <w:szCs w:val="22"/>
        </w:rPr>
        <w:t>C</w:t>
      </w:r>
      <w:r w:rsidR="00B364BF">
        <w:rPr>
          <w:sz w:val="22"/>
          <w:szCs w:val="22"/>
        </w:rPr>
        <w:t xml:space="preserve">alls for a revision of the </w:t>
      </w:r>
      <w:r w:rsidR="00B364BF" w:rsidRPr="00F80414">
        <w:rPr>
          <w:sz w:val="22"/>
          <w:szCs w:val="22"/>
        </w:rPr>
        <w:t>Governance of the Energy Union and Climate Action Regulation</w:t>
      </w:r>
      <w:r w:rsidR="00B364BF" w:rsidRPr="00ED493F">
        <w:rPr>
          <w:sz w:val="22"/>
          <w:vertAlign w:val="superscript"/>
        </w:rPr>
        <w:footnoteReference w:id="2"/>
      </w:r>
      <w:r w:rsidR="00B364BF">
        <w:rPr>
          <w:sz w:val="22"/>
          <w:szCs w:val="22"/>
        </w:rPr>
        <w:t xml:space="preserve"> which already includes the development of National Energy and Climate Plans, in which Social Climate Plans will have to be added: these plans must be drafted by Member States with strong collaboration of local and regional authorities; in which the </w:t>
      </w:r>
      <w:r w:rsidR="00B364BF" w:rsidRPr="00145C8B">
        <w:rPr>
          <w:sz w:val="22"/>
          <w:szCs w:val="22"/>
        </w:rPr>
        <w:t xml:space="preserve">Multilevel </w:t>
      </w:r>
      <w:r w:rsidR="00B364BF">
        <w:rPr>
          <w:sz w:val="22"/>
          <w:szCs w:val="22"/>
        </w:rPr>
        <w:t>Climate and E</w:t>
      </w:r>
      <w:r w:rsidR="00B364BF" w:rsidRPr="00145C8B">
        <w:rPr>
          <w:sz w:val="22"/>
          <w:szCs w:val="22"/>
        </w:rPr>
        <w:t xml:space="preserve">nergy dialogues </w:t>
      </w:r>
      <w:r w:rsidR="00B364BF">
        <w:rPr>
          <w:sz w:val="22"/>
          <w:szCs w:val="22"/>
        </w:rPr>
        <w:t xml:space="preserve">should become a stronger tool </w:t>
      </w:r>
      <w:r w:rsidR="00B364BF" w:rsidRPr="00145C8B">
        <w:rPr>
          <w:sz w:val="22"/>
          <w:szCs w:val="22"/>
        </w:rPr>
        <w:t xml:space="preserve">to deliver </w:t>
      </w:r>
      <w:r w:rsidR="00B364BF">
        <w:rPr>
          <w:sz w:val="22"/>
          <w:szCs w:val="22"/>
        </w:rPr>
        <w:t>and effective and socially inclusive implementation of the climate and energy transition.</w:t>
      </w:r>
    </w:p>
    <w:p w14:paraId="3C8ED8C0" w14:textId="77777777" w:rsidR="00B364BF" w:rsidRPr="00DD3D0D" w:rsidRDefault="00B364BF" w:rsidP="00B364BF">
      <w:pPr>
        <w:pStyle w:val="Default"/>
        <w:numPr>
          <w:ilvl w:val="0"/>
          <w:numId w:val="4"/>
        </w:numPr>
        <w:spacing w:after="240" w:line="276" w:lineRule="auto"/>
        <w:jc w:val="both"/>
        <w:rPr>
          <w:sz w:val="22"/>
          <w:szCs w:val="22"/>
        </w:rPr>
      </w:pPr>
      <w:r>
        <w:rPr>
          <w:sz w:val="22"/>
          <w:szCs w:val="22"/>
        </w:rPr>
        <w:t xml:space="preserve">Reminds the relevance of ensuring an </w:t>
      </w:r>
      <w:r w:rsidRPr="00145C8B">
        <w:rPr>
          <w:sz w:val="22"/>
          <w:szCs w:val="22"/>
        </w:rPr>
        <w:t>adequate complementarity</w:t>
      </w:r>
      <w:r>
        <w:rPr>
          <w:sz w:val="22"/>
          <w:szCs w:val="22"/>
        </w:rPr>
        <w:t xml:space="preserve">, consistency and synergies </w:t>
      </w:r>
      <w:r w:rsidRPr="00145C8B">
        <w:rPr>
          <w:sz w:val="22"/>
          <w:szCs w:val="22"/>
        </w:rPr>
        <w:t>between the Social Climate Fund and other financial resources with similar purposes</w:t>
      </w:r>
      <w:r>
        <w:rPr>
          <w:sz w:val="22"/>
          <w:szCs w:val="22"/>
        </w:rPr>
        <w:t xml:space="preserve"> - such as investments linked to the Renovation Wave -</w:t>
      </w:r>
      <w:r w:rsidRPr="00145C8B">
        <w:rPr>
          <w:sz w:val="22"/>
          <w:szCs w:val="22"/>
        </w:rPr>
        <w:t>,</w:t>
      </w:r>
      <w:r>
        <w:rPr>
          <w:sz w:val="22"/>
          <w:szCs w:val="22"/>
        </w:rPr>
        <w:t xml:space="preserve"> and especially with the EU budget allocations for cohesion policy programmes </w:t>
      </w:r>
      <w:r w:rsidRPr="00145C8B">
        <w:rPr>
          <w:sz w:val="22"/>
          <w:szCs w:val="22"/>
        </w:rPr>
        <w:t>such as the European Regional Development Fund, European Social Fund+,</w:t>
      </w:r>
      <w:r>
        <w:rPr>
          <w:sz w:val="22"/>
          <w:szCs w:val="22"/>
        </w:rPr>
        <w:t xml:space="preserve"> and the Just Transition Fund, as well as with</w:t>
      </w:r>
      <w:r w:rsidRPr="00145C8B">
        <w:rPr>
          <w:sz w:val="22"/>
          <w:szCs w:val="22"/>
        </w:rPr>
        <w:t xml:space="preserve"> the Recovery and Resilience Facility</w:t>
      </w:r>
      <w:r>
        <w:rPr>
          <w:sz w:val="22"/>
          <w:szCs w:val="22"/>
        </w:rPr>
        <w:t>; to this purpose, the Social Climate Fund should be created under Cohesion Policy, making it easier for Managing Authorities and for the European Commission ensuring such complementarity.</w:t>
      </w:r>
    </w:p>
    <w:p w14:paraId="512E0582" w14:textId="77688F69" w:rsidR="00B364BF" w:rsidRDefault="006E5E3E" w:rsidP="006E5E3E">
      <w:pPr>
        <w:pStyle w:val="Default"/>
        <w:numPr>
          <w:ilvl w:val="0"/>
          <w:numId w:val="4"/>
        </w:numPr>
        <w:spacing w:after="240" w:line="276" w:lineRule="auto"/>
        <w:jc w:val="both"/>
        <w:rPr>
          <w:sz w:val="22"/>
          <w:szCs w:val="22"/>
        </w:rPr>
      </w:pPr>
      <w:r>
        <w:rPr>
          <w:sz w:val="22"/>
          <w:szCs w:val="22"/>
        </w:rPr>
        <w:t>C</w:t>
      </w:r>
      <w:r w:rsidR="00B364BF">
        <w:rPr>
          <w:sz w:val="22"/>
          <w:szCs w:val="22"/>
        </w:rPr>
        <w:t xml:space="preserve">alls to expand the scope of support of the Social Climate Fund so that other vulnerable collectives or citizens not included explicitly under the proposal can also benefit, as well as expand the definition of the measures included, which need to be reasonable for the poorest citizens and sustainable through </w:t>
      </w:r>
      <w:proofErr w:type="gramStart"/>
      <w:r w:rsidR="00B364BF">
        <w:rPr>
          <w:sz w:val="22"/>
          <w:szCs w:val="22"/>
        </w:rPr>
        <w:t>time;</w:t>
      </w:r>
      <w:proofErr w:type="gramEnd"/>
      <w:r w:rsidR="00B364BF">
        <w:rPr>
          <w:sz w:val="22"/>
          <w:szCs w:val="22"/>
        </w:rPr>
        <w:t xml:space="preserve"> </w:t>
      </w:r>
    </w:p>
    <w:p w14:paraId="6D9632A7" w14:textId="77777777" w:rsidR="00B364BF" w:rsidRDefault="00B364BF" w:rsidP="00B364BF">
      <w:pPr>
        <w:pStyle w:val="Default"/>
        <w:numPr>
          <w:ilvl w:val="0"/>
          <w:numId w:val="4"/>
        </w:numPr>
        <w:spacing w:after="240" w:line="276" w:lineRule="auto"/>
        <w:jc w:val="both"/>
        <w:rPr>
          <w:sz w:val="22"/>
          <w:szCs w:val="22"/>
        </w:rPr>
      </w:pPr>
      <w:r w:rsidRPr="003C5024">
        <w:rPr>
          <w:sz w:val="22"/>
          <w:szCs w:val="22"/>
        </w:rPr>
        <w:t>Proposes to involve local and regional actors and include regional charts and tools at regional level in order to provide a more accurate mapping of vulnerabilities which highlight the differences among the territories so that measures from the Social Climate Fund and the lump sum revenue distribution can target and truly address the needs of lower income groups and</w:t>
      </w:r>
      <w:r>
        <w:rPr>
          <w:sz w:val="22"/>
          <w:szCs w:val="22"/>
        </w:rPr>
        <w:t xml:space="preserve"> </w:t>
      </w:r>
      <w:r w:rsidRPr="003C5024">
        <w:rPr>
          <w:sz w:val="22"/>
          <w:szCs w:val="22"/>
        </w:rPr>
        <w:t xml:space="preserve">support sectoral </w:t>
      </w:r>
      <w:proofErr w:type="gramStart"/>
      <w:r w:rsidRPr="003C5024">
        <w:rPr>
          <w:sz w:val="22"/>
          <w:szCs w:val="22"/>
        </w:rPr>
        <w:t>restructuring</w:t>
      </w:r>
      <w:r>
        <w:rPr>
          <w:sz w:val="22"/>
          <w:szCs w:val="22"/>
        </w:rPr>
        <w:t>;</w:t>
      </w:r>
      <w:proofErr w:type="gramEnd"/>
      <w:r>
        <w:rPr>
          <w:sz w:val="22"/>
          <w:szCs w:val="22"/>
        </w:rPr>
        <w:t xml:space="preserve"> </w:t>
      </w:r>
    </w:p>
    <w:p w14:paraId="54B77B00" w14:textId="77777777" w:rsidR="00B364BF" w:rsidRDefault="00B364BF" w:rsidP="00B364BF">
      <w:pPr>
        <w:pStyle w:val="Default"/>
        <w:numPr>
          <w:ilvl w:val="0"/>
          <w:numId w:val="4"/>
        </w:numPr>
        <w:spacing w:after="240" w:line="276" w:lineRule="auto"/>
        <w:jc w:val="both"/>
        <w:rPr>
          <w:sz w:val="22"/>
          <w:szCs w:val="22"/>
        </w:rPr>
      </w:pPr>
      <w:r>
        <w:rPr>
          <w:sz w:val="22"/>
          <w:szCs w:val="22"/>
        </w:rPr>
        <w:lastRenderedPageBreak/>
        <w:t xml:space="preserve">Emphasises that while the aim of the Social Climate Fund is a step forward in the right direction for carrying out the just transition, further efforts in financial terms should be developed. The Social Climate Fund itself will not be enough to tackle the social undesirable effects and economic shortcomings from the measures to achieve the climate neutrality. In that sense, the </w:t>
      </w:r>
      <w:proofErr w:type="spellStart"/>
      <w:r>
        <w:rPr>
          <w:sz w:val="22"/>
          <w:szCs w:val="22"/>
        </w:rPr>
        <w:t>CoR</w:t>
      </w:r>
      <w:proofErr w:type="spellEnd"/>
      <w:r>
        <w:rPr>
          <w:sz w:val="22"/>
          <w:szCs w:val="22"/>
        </w:rPr>
        <w:t xml:space="preserve"> advocates that more ways of economic support should be deployed which can </w:t>
      </w:r>
      <w:proofErr w:type="gramStart"/>
      <w:r>
        <w:rPr>
          <w:sz w:val="22"/>
          <w:szCs w:val="22"/>
        </w:rPr>
        <w:t>take into account</w:t>
      </w:r>
      <w:proofErr w:type="gramEnd"/>
      <w:r>
        <w:rPr>
          <w:sz w:val="22"/>
          <w:szCs w:val="22"/>
        </w:rPr>
        <w:t xml:space="preserve"> the specificities of cities and regions. When willing to support the most vulnerable individuals, special attention will have to be put in the availability of activities and support to non-bankable citizens.</w:t>
      </w:r>
    </w:p>
    <w:p w14:paraId="4F94376E" w14:textId="77777777" w:rsidR="00B364BF" w:rsidRPr="00DD3D0D" w:rsidRDefault="00B364BF" w:rsidP="00B364BF">
      <w:pPr>
        <w:pStyle w:val="Default"/>
        <w:numPr>
          <w:ilvl w:val="0"/>
          <w:numId w:val="4"/>
        </w:numPr>
        <w:spacing w:line="276" w:lineRule="auto"/>
        <w:jc w:val="both"/>
        <w:rPr>
          <w:sz w:val="22"/>
          <w:szCs w:val="22"/>
        </w:rPr>
      </w:pPr>
      <w:r>
        <w:rPr>
          <w:sz w:val="22"/>
          <w:szCs w:val="22"/>
        </w:rPr>
        <w:t>Points out that the purpose of the Social Climate Fund of compensating vulnerable households, micro-enterprises and transport users to reduce the impact of the climate and energy policies within the European Green Deal is a sign of fairness and climate justice; nevertheless laments that small effort has been put into reducing the footprint and the greenhouse gas emission levels of the richest part of the society, who is responsible for the biggest share of environmental damage and global warming.</w:t>
      </w:r>
      <w:r w:rsidRPr="00DD3D0D">
        <w:rPr>
          <w:sz w:val="22"/>
          <w:szCs w:val="22"/>
        </w:rPr>
        <w:t xml:space="preserve"> </w:t>
      </w:r>
    </w:p>
    <w:p w14:paraId="041F5899" w14:textId="77777777" w:rsidR="00B364BF" w:rsidRDefault="00B364BF" w:rsidP="00B364BF">
      <w:pPr>
        <w:pStyle w:val="Default"/>
        <w:spacing w:line="276" w:lineRule="auto"/>
        <w:ind w:left="720"/>
        <w:jc w:val="both"/>
        <w:rPr>
          <w:sz w:val="22"/>
          <w:szCs w:val="22"/>
        </w:rPr>
      </w:pPr>
    </w:p>
    <w:p w14:paraId="41968CB2" w14:textId="77777777" w:rsidR="00B364BF" w:rsidRDefault="00B364BF" w:rsidP="00B364BF">
      <w:pPr>
        <w:pStyle w:val="Default"/>
        <w:numPr>
          <w:ilvl w:val="0"/>
          <w:numId w:val="4"/>
        </w:numPr>
        <w:spacing w:line="276" w:lineRule="auto"/>
        <w:jc w:val="both"/>
        <w:rPr>
          <w:sz w:val="22"/>
          <w:szCs w:val="22"/>
        </w:rPr>
      </w:pPr>
      <w:r>
        <w:rPr>
          <w:sz w:val="22"/>
          <w:szCs w:val="22"/>
        </w:rPr>
        <w:t>R</w:t>
      </w:r>
      <w:r w:rsidRPr="002413D9">
        <w:rPr>
          <w:sz w:val="22"/>
          <w:szCs w:val="22"/>
        </w:rPr>
        <w:t xml:space="preserve">ecommends that the </w:t>
      </w:r>
      <w:proofErr w:type="spellStart"/>
      <w:r w:rsidRPr="002413D9">
        <w:rPr>
          <w:sz w:val="22"/>
          <w:szCs w:val="22"/>
        </w:rPr>
        <w:t>CoR</w:t>
      </w:r>
      <w:proofErr w:type="spellEnd"/>
      <w:r w:rsidRPr="002413D9">
        <w:rPr>
          <w:sz w:val="22"/>
          <w:szCs w:val="22"/>
        </w:rPr>
        <w:t>, as the body representing</w:t>
      </w:r>
      <w:r>
        <w:rPr>
          <w:sz w:val="22"/>
          <w:szCs w:val="22"/>
        </w:rPr>
        <w:t xml:space="preserve"> local and regional authorities</w:t>
      </w:r>
      <w:r w:rsidRPr="002413D9">
        <w:rPr>
          <w:sz w:val="22"/>
          <w:szCs w:val="22"/>
        </w:rPr>
        <w:t>, play a facilitating role in</w:t>
      </w:r>
      <w:r>
        <w:rPr>
          <w:sz w:val="22"/>
          <w:szCs w:val="22"/>
        </w:rPr>
        <w:t xml:space="preserve"> shaping and implementing</w:t>
      </w:r>
      <w:r w:rsidRPr="002413D9">
        <w:rPr>
          <w:sz w:val="22"/>
          <w:szCs w:val="22"/>
        </w:rPr>
        <w:t xml:space="preserve"> the </w:t>
      </w:r>
      <w:r>
        <w:rPr>
          <w:sz w:val="22"/>
          <w:szCs w:val="22"/>
        </w:rPr>
        <w:t>Social Climate Plans</w:t>
      </w:r>
      <w:r w:rsidRPr="002413D9">
        <w:rPr>
          <w:sz w:val="22"/>
          <w:szCs w:val="22"/>
        </w:rPr>
        <w:t xml:space="preserve">, providing an additional </w:t>
      </w:r>
      <w:r>
        <w:rPr>
          <w:sz w:val="22"/>
          <w:szCs w:val="22"/>
        </w:rPr>
        <w:t>opportunity</w:t>
      </w:r>
      <w:r w:rsidRPr="002413D9">
        <w:rPr>
          <w:sz w:val="22"/>
          <w:szCs w:val="22"/>
        </w:rPr>
        <w:t xml:space="preserve"> to reach the local and regional level outside of the Member States' internal frameworks</w:t>
      </w:r>
      <w:r>
        <w:rPr>
          <w:sz w:val="22"/>
          <w:szCs w:val="22"/>
        </w:rPr>
        <w:t>.</w:t>
      </w:r>
    </w:p>
    <w:p w14:paraId="47A05B76" w14:textId="77777777" w:rsidR="00B364BF" w:rsidRDefault="00B364BF" w:rsidP="00B364BF">
      <w:pPr>
        <w:pStyle w:val="Default"/>
        <w:spacing w:line="276" w:lineRule="auto"/>
        <w:ind w:left="720"/>
        <w:jc w:val="both"/>
        <w:rPr>
          <w:sz w:val="22"/>
          <w:szCs w:val="22"/>
        </w:rPr>
      </w:pPr>
      <w:r>
        <w:rPr>
          <w:sz w:val="22"/>
          <w:szCs w:val="22"/>
        </w:rPr>
        <w:t xml:space="preserve"> </w:t>
      </w:r>
    </w:p>
    <w:p w14:paraId="6DE18CB0" w14:textId="77777777" w:rsidR="00B364BF" w:rsidRDefault="00B364BF" w:rsidP="00B364BF">
      <w:pPr>
        <w:pStyle w:val="Default"/>
        <w:numPr>
          <w:ilvl w:val="0"/>
          <w:numId w:val="4"/>
        </w:numPr>
        <w:spacing w:after="240" w:line="276" w:lineRule="auto"/>
        <w:jc w:val="both"/>
        <w:rPr>
          <w:sz w:val="22"/>
          <w:szCs w:val="22"/>
        </w:rPr>
      </w:pPr>
      <w:r>
        <w:rPr>
          <w:sz w:val="22"/>
          <w:szCs w:val="22"/>
        </w:rPr>
        <w:t xml:space="preserve">Welcomes the revision of the Energy Taxation Directive so that its content is adjusted and adapted to the need of greater climate action and environmental protection, while at the same time can support the development and expansion of renewable energy, and preserve the correct functioning of the internal market, </w:t>
      </w:r>
      <w:r w:rsidRPr="00171EA8">
        <w:rPr>
          <w:sz w:val="22"/>
          <w:szCs w:val="22"/>
        </w:rPr>
        <w:t xml:space="preserve">aligning taxation of energy products and electricity with EU energy </w:t>
      </w:r>
      <w:r>
        <w:rPr>
          <w:sz w:val="22"/>
          <w:szCs w:val="22"/>
        </w:rPr>
        <w:t>and climate policies.</w:t>
      </w:r>
    </w:p>
    <w:p w14:paraId="5B7A6C33" w14:textId="77777777" w:rsidR="00B364BF" w:rsidRDefault="00B364BF" w:rsidP="00B364BF">
      <w:pPr>
        <w:pStyle w:val="Default"/>
        <w:numPr>
          <w:ilvl w:val="0"/>
          <w:numId w:val="4"/>
        </w:numPr>
        <w:spacing w:after="240" w:line="276" w:lineRule="auto"/>
        <w:jc w:val="both"/>
        <w:rPr>
          <w:sz w:val="22"/>
          <w:szCs w:val="22"/>
        </w:rPr>
      </w:pPr>
      <w:r>
        <w:rPr>
          <w:sz w:val="22"/>
          <w:szCs w:val="22"/>
        </w:rPr>
        <w:t xml:space="preserve">Points out that the determination of environmental taxes should be accompanied by </w:t>
      </w:r>
      <w:r w:rsidRPr="00DC5F1E">
        <w:rPr>
          <w:sz w:val="22"/>
          <w:szCs w:val="22"/>
        </w:rPr>
        <w:t xml:space="preserve">compensatory measures, such as lower labour income taxes or social security contributions, targeted at </w:t>
      </w:r>
      <w:r>
        <w:rPr>
          <w:sz w:val="22"/>
          <w:szCs w:val="22"/>
        </w:rPr>
        <w:t xml:space="preserve">vulnerable and </w:t>
      </w:r>
      <w:r w:rsidRPr="00DC5F1E">
        <w:rPr>
          <w:sz w:val="22"/>
          <w:szCs w:val="22"/>
        </w:rPr>
        <w:t>lower income households</w:t>
      </w:r>
      <w:r>
        <w:rPr>
          <w:sz w:val="22"/>
          <w:szCs w:val="22"/>
        </w:rPr>
        <w:t>, micro-</w:t>
      </w:r>
      <w:proofErr w:type="gramStart"/>
      <w:r>
        <w:rPr>
          <w:sz w:val="22"/>
          <w:szCs w:val="22"/>
        </w:rPr>
        <w:t>enterprises</w:t>
      </w:r>
      <w:proofErr w:type="gramEnd"/>
      <w:r>
        <w:rPr>
          <w:sz w:val="22"/>
          <w:szCs w:val="22"/>
        </w:rPr>
        <w:t xml:space="preserve"> and transport users, complementing the objectives and instruments of the Social Climate Fund.</w:t>
      </w:r>
    </w:p>
    <w:p w14:paraId="46F174B6" w14:textId="590A1E83" w:rsidR="00B364BF" w:rsidRPr="00DD3D0D" w:rsidRDefault="006E5E3E" w:rsidP="006E5E3E">
      <w:pPr>
        <w:pStyle w:val="Default"/>
        <w:numPr>
          <w:ilvl w:val="0"/>
          <w:numId w:val="4"/>
        </w:numPr>
        <w:spacing w:after="240" w:line="276" w:lineRule="auto"/>
        <w:jc w:val="both"/>
        <w:rPr>
          <w:sz w:val="22"/>
          <w:szCs w:val="22"/>
        </w:rPr>
      </w:pPr>
      <w:r>
        <w:rPr>
          <w:sz w:val="22"/>
          <w:szCs w:val="22"/>
        </w:rPr>
        <w:t>W</w:t>
      </w:r>
      <w:r w:rsidR="00B364BF" w:rsidRPr="00CE4A96">
        <w:rPr>
          <w:sz w:val="22"/>
          <w:szCs w:val="22"/>
        </w:rPr>
        <w:t>elcomes the inclusion in the ETD the possibility for Member States to assist vulnerable groups and protect households against energy poverty, countering the possible negative effects of the tax</w:t>
      </w:r>
      <w:r w:rsidR="00B364BF">
        <w:rPr>
          <w:sz w:val="22"/>
          <w:szCs w:val="22"/>
        </w:rPr>
        <w:t>.</w:t>
      </w:r>
    </w:p>
    <w:p w14:paraId="38A32218" w14:textId="77777777" w:rsidR="00973D99" w:rsidRPr="00334D96" w:rsidRDefault="00973D99" w:rsidP="00973D99"/>
    <w:p w14:paraId="655FD1BA" w14:textId="77777777" w:rsidR="00973D99" w:rsidRPr="00334D96" w:rsidRDefault="00973D99" w:rsidP="00973D99">
      <w:r w:rsidRPr="00334D96">
        <w:t xml:space="preserve">Brussels, </w:t>
      </w:r>
    </w:p>
    <w:p w14:paraId="6B0DA0A7" w14:textId="77777777" w:rsidR="001026AA" w:rsidRPr="0088273D" w:rsidRDefault="001026AA">
      <w:pPr>
        <w:overflowPunct w:val="0"/>
        <w:autoSpaceDE w:val="0"/>
        <w:autoSpaceDN w:val="0"/>
        <w:adjustRightInd w:val="0"/>
        <w:jc w:val="center"/>
        <w:textAlignment w:val="baseline"/>
        <w:rPr>
          <w:lang w:val="en-GB"/>
        </w:rPr>
      </w:pPr>
      <w:r w:rsidRPr="0088273D">
        <w:rPr>
          <w:lang w:val="en-GB"/>
        </w:rPr>
        <w:t>_____________</w:t>
      </w:r>
    </w:p>
    <w:p w14:paraId="534F19F3" w14:textId="77777777" w:rsidR="00F62C54" w:rsidRPr="0088273D" w:rsidRDefault="00F62C54">
      <w:pPr>
        <w:rPr>
          <w:lang w:val="en-GB"/>
        </w:rPr>
      </w:pPr>
    </w:p>
    <w:sectPr w:rsidR="00F62C54" w:rsidRPr="0088273D" w:rsidSect="00C95F3E">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9ACF" w14:textId="77777777" w:rsidR="00774A14" w:rsidRDefault="00774A14" w:rsidP="00DA038A">
      <w:pPr>
        <w:spacing w:line="240" w:lineRule="auto"/>
      </w:pPr>
      <w:r>
        <w:separator/>
      </w:r>
    </w:p>
  </w:endnote>
  <w:endnote w:type="continuationSeparator" w:id="0">
    <w:p w14:paraId="1BFF3E5D" w14:textId="77777777" w:rsidR="00774A14" w:rsidRDefault="00774A14" w:rsidP="00DA0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1485" w14:textId="77777777" w:rsidR="00D87796" w:rsidRDefault="00D8779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82E2" w14:textId="5ACDB15D" w:rsidR="00774A14" w:rsidRPr="00C95F3E" w:rsidRDefault="00C95F3E" w:rsidP="00C95F3E">
    <w:pPr>
      <w:pStyle w:val="llb"/>
    </w:pPr>
    <w:r>
      <w:t>COR-2021-</w:t>
    </w:r>
    <w:proofErr w:type="gramStart"/>
    <w:r w:rsidR="008A0252">
      <w:t>….-</w:t>
    </w:r>
    <w:proofErr w:type="gramEnd"/>
    <w:r w:rsidR="008A0252">
      <w:t>00-00</w:t>
    </w:r>
    <w:r>
      <w:t>-</w:t>
    </w:r>
    <w:r w:rsidR="00D87796">
      <w:t>PA</w:t>
    </w:r>
    <w:r>
      <w:t xml:space="preserve">-TRA (EN) </w:t>
    </w:r>
    <w:r>
      <w:fldChar w:fldCharType="begin"/>
    </w:r>
    <w:r>
      <w:instrText xml:space="preserve"> PAGE  \* Arabic  \* MERGEFORMAT </w:instrText>
    </w:r>
    <w:r>
      <w:fldChar w:fldCharType="separate"/>
    </w:r>
    <w:r w:rsidR="00AD69E1">
      <w:rPr>
        <w:noProof/>
      </w:rPr>
      <w:t>1</w:t>
    </w:r>
    <w:r>
      <w:fldChar w:fldCharType="end"/>
    </w:r>
    <w:r>
      <w:t>/</w:t>
    </w:r>
    <w:r>
      <w:fldChar w:fldCharType="begin"/>
    </w:r>
    <w:r>
      <w:instrText xml:space="preserve"> NUMPAGES </w:instrText>
    </w:r>
    <w:r>
      <w:fldChar w:fldCharType="separate"/>
    </w:r>
    <w:r w:rsidR="00AD69E1">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F388" w14:textId="77777777" w:rsidR="00D87796" w:rsidRDefault="00D8779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39DD" w14:textId="77777777" w:rsidR="00774A14" w:rsidRDefault="00774A14" w:rsidP="00DA038A">
      <w:pPr>
        <w:spacing w:line="240" w:lineRule="auto"/>
      </w:pPr>
      <w:r>
        <w:separator/>
      </w:r>
    </w:p>
  </w:footnote>
  <w:footnote w:type="continuationSeparator" w:id="0">
    <w:p w14:paraId="635B0DA1" w14:textId="77777777" w:rsidR="00774A14" w:rsidRDefault="00774A14" w:rsidP="00DA038A">
      <w:pPr>
        <w:spacing w:line="240" w:lineRule="auto"/>
      </w:pPr>
      <w:r>
        <w:continuationSeparator/>
      </w:r>
    </w:p>
  </w:footnote>
  <w:footnote w:id="1">
    <w:p w14:paraId="4D74E14D" w14:textId="18F7F482" w:rsidR="003347C9" w:rsidRDefault="003347C9">
      <w:pPr>
        <w:pStyle w:val="Lbjegyzetszveg"/>
      </w:pPr>
      <w:r>
        <w:rPr>
          <w:rStyle w:val="Lbjegyzet-hivatkozs"/>
        </w:rPr>
        <w:footnoteRef/>
      </w:r>
      <w:r>
        <w:t xml:space="preserve"> </w:t>
      </w:r>
      <w:r w:rsidR="002E7EB9" w:rsidRPr="002E7EB9">
        <w:t>COMMISSION RECOMMENDATION (EU) 2020/1563 of 14 October 2020 on energy poverty</w:t>
      </w:r>
      <w:r w:rsidR="002E7EB9">
        <w:t xml:space="preserve"> </w:t>
      </w:r>
    </w:p>
  </w:footnote>
  <w:footnote w:id="2">
    <w:p w14:paraId="728DD489" w14:textId="77777777" w:rsidR="00B364BF" w:rsidRDefault="00B364BF" w:rsidP="00B364BF">
      <w:pPr>
        <w:pStyle w:val="Lbjegyzetszveg"/>
        <w:ind w:left="0" w:firstLine="0"/>
      </w:pPr>
      <w:r>
        <w:rPr>
          <w:rStyle w:val="Lbjegyzet-hivatkozs"/>
        </w:rPr>
        <w:footnoteRef/>
      </w:r>
      <w:r>
        <w:t xml:space="preserve"> 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EEAB" w14:textId="77777777" w:rsidR="00D87796" w:rsidRDefault="00D8779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43FA" w14:textId="77777777" w:rsidR="00D87796" w:rsidRDefault="00D87796">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4517" w14:textId="77777777" w:rsidR="00D87796" w:rsidRDefault="00D8779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Cmsor1"/>
      <w:lvlText w:val="%1."/>
      <w:legacy w:legacy="1" w:legacySpace="0" w:legacyIndent="0"/>
      <w:lvlJc w:val="left"/>
      <w:rPr>
        <w:rFonts w:cs="Times New Roman"/>
      </w:rPr>
    </w:lvl>
    <w:lvl w:ilvl="1">
      <w:start w:val="1"/>
      <w:numFmt w:val="decimal"/>
      <w:pStyle w:val="Cmsor2"/>
      <w:lvlText w:val="%1.%2"/>
      <w:legacy w:legacy="1" w:legacySpace="144" w:legacyIndent="0"/>
      <w:lvlJc w:val="left"/>
      <w:rPr>
        <w:rFonts w:cs="Times New Roman"/>
      </w:rPr>
    </w:lvl>
    <w:lvl w:ilvl="2">
      <w:start w:val="1"/>
      <w:numFmt w:val="decimal"/>
      <w:pStyle w:val="Cmsor3"/>
      <w:lvlText w:val="%1.%2.%3"/>
      <w:legacy w:legacy="1" w:legacySpace="144" w:legacyIndent="0"/>
      <w:lvlJc w:val="left"/>
      <w:rPr>
        <w:rFonts w:cs="Times New Roman"/>
      </w:rPr>
    </w:lvl>
    <w:lvl w:ilvl="3">
      <w:start w:val="1"/>
      <w:numFmt w:val="decimal"/>
      <w:pStyle w:val="Cmsor4"/>
      <w:lvlText w:val="%1.%2.%3.%4"/>
      <w:legacy w:legacy="1" w:legacySpace="144" w:legacyIndent="0"/>
      <w:lvlJc w:val="left"/>
      <w:rPr>
        <w:rFonts w:cs="Times New Roman"/>
      </w:rPr>
    </w:lvl>
    <w:lvl w:ilvl="4">
      <w:start w:val="1"/>
      <w:numFmt w:val="decimal"/>
      <w:pStyle w:val="Cmsor5"/>
      <w:lvlText w:val="%1.%2.%3.%4.%5"/>
      <w:legacy w:legacy="1" w:legacySpace="144" w:legacyIndent="0"/>
      <w:lvlJc w:val="left"/>
      <w:rPr>
        <w:rFonts w:cs="Times New Roman"/>
      </w:rPr>
    </w:lvl>
    <w:lvl w:ilvl="5">
      <w:start w:val="1"/>
      <w:numFmt w:val="decimal"/>
      <w:pStyle w:val="Cmsor6"/>
      <w:lvlText w:val="%1.%2.%3.%4.%5.%6"/>
      <w:legacy w:legacy="1" w:legacySpace="144" w:legacyIndent="0"/>
      <w:lvlJc w:val="left"/>
      <w:rPr>
        <w:rFonts w:cs="Times New Roman"/>
      </w:rPr>
    </w:lvl>
    <w:lvl w:ilvl="6">
      <w:start w:val="1"/>
      <w:numFmt w:val="decimal"/>
      <w:pStyle w:val="Cmsor7"/>
      <w:lvlText w:val="%1.%2.%3.%4.%5.%6.%7"/>
      <w:legacy w:legacy="1" w:legacySpace="144" w:legacyIndent="0"/>
      <w:lvlJc w:val="left"/>
      <w:rPr>
        <w:rFonts w:cs="Times New Roman"/>
      </w:rPr>
    </w:lvl>
    <w:lvl w:ilvl="7">
      <w:start w:val="1"/>
      <w:numFmt w:val="decimal"/>
      <w:pStyle w:val="Cmsor8"/>
      <w:lvlText w:val="%1.%2.%3.%4.%5.%6.%7.%8"/>
      <w:legacy w:legacy="1" w:legacySpace="144" w:legacyIndent="0"/>
      <w:lvlJc w:val="left"/>
      <w:rPr>
        <w:rFonts w:cs="Times New Roman"/>
      </w:rPr>
    </w:lvl>
    <w:lvl w:ilvl="8">
      <w:start w:val="1"/>
      <w:numFmt w:val="decimal"/>
      <w:pStyle w:val="Cmsor9"/>
      <w:lvlText w:val="%1.%2.%3.%4.%5.%6.%7.%8.%9"/>
      <w:legacy w:legacy="1" w:legacySpace="144" w:legacyIndent="0"/>
      <w:lvlJc w:val="left"/>
      <w:rPr>
        <w:rFonts w:cs="Times New Roman"/>
      </w:rPr>
    </w:lvl>
  </w:abstractNum>
  <w:abstractNum w:abstractNumId="1" w15:restartNumberingAfterBreak="0">
    <w:nsid w:val="451036A8"/>
    <w:multiLevelType w:val="hybridMultilevel"/>
    <w:tmpl w:val="1E3E7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8B080C"/>
    <w:multiLevelType w:val="hybridMultilevel"/>
    <w:tmpl w:val="BB902A82"/>
    <w:lvl w:ilvl="0" w:tplc="DF684536">
      <w:start w:val="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CE91B99"/>
    <w:multiLevelType w:val="hybridMultilevel"/>
    <w:tmpl w:val="F5F8AF7C"/>
    <w:lvl w:ilvl="0" w:tplc="040E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98B5338"/>
    <w:multiLevelType w:val="hybridMultilevel"/>
    <w:tmpl w:val="B704B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8A"/>
    <w:rsid w:val="000127E3"/>
    <w:rsid w:val="000142BA"/>
    <w:rsid w:val="0001464D"/>
    <w:rsid w:val="00035EC6"/>
    <w:rsid w:val="00050514"/>
    <w:rsid w:val="000663E5"/>
    <w:rsid w:val="00066ECF"/>
    <w:rsid w:val="000753EA"/>
    <w:rsid w:val="0009603F"/>
    <w:rsid w:val="000A588B"/>
    <w:rsid w:val="000E6D06"/>
    <w:rsid w:val="000F1FFD"/>
    <w:rsid w:val="000F33AF"/>
    <w:rsid w:val="000F6157"/>
    <w:rsid w:val="000F65AC"/>
    <w:rsid w:val="001026AA"/>
    <w:rsid w:val="0010432A"/>
    <w:rsid w:val="00112236"/>
    <w:rsid w:val="00114AE9"/>
    <w:rsid w:val="001205AB"/>
    <w:rsid w:val="00152AA4"/>
    <w:rsid w:val="00153D76"/>
    <w:rsid w:val="0015798C"/>
    <w:rsid w:val="001661D1"/>
    <w:rsid w:val="001676F2"/>
    <w:rsid w:val="00185F3F"/>
    <w:rsid w:val="00191B05"/>
    <w:rsid w:val="001970A6"/>
    <w:rsid w:val="001C3003"/>
    <w:rsid w:val="001C4C2E"/>
    <w:rsid w:val="001F485C"/>
    <w:rsid w:val="001F4CB1"/>
    <w:rsid w:val="001F6EBF"/>
    <w:rsid w:val="00213A64"/>
    <w:rsid w:val="00217097"/>
    <w:rsid w:val="00235192"/>
    <w:rsid w:val="00235648"/>
    <w:rsid w:val="0024036B"/>
    <w:rsid w:val="00251B09"/>
    <w:rsid w:val="00251F67"/>
    <w:rsid w:val="00251FEE"/>
    <w:rsid w:val="00264F1A"/>
    <w:rsid w:val="00265AA7"/>
    <w:rsid w:val="00266486"/>
    <w:rsid w:val="002666BE"/>
    <w:rsid w:val="0028074F"/>
    <w:rsid w:val="00287B12"/>
    <w:rsid w:val="00292D81"/>
    <w:rsid w:val="00297028"/>
    <w:rsid w:val="002A2E31"/>
    <w:rsid w:val="002A5CC3"/>
    <w:rsid w:val="002A5EEA"/>
    <w:rsid w:val="002A6D9A"/>
    <w:rsid w:val="002B5B81"/>
    <w:rsid w:val="002B62BA"/>
    <w:rsid w:val="002C0293"/>
    <w:rsid w:val="002C067E"/>
    <w:rsid w:val="002C0A5C"/>
    <w:rsid w:val="002D7F97"/>
    <w:rsid w:val="002E16B6"/>
    <w:rsid w:val="002E7EB9"/>
    <w:rsid w:val="00310EF3"/>
    <w:rsid w:val="00313C43"/>
    <w:rsid w:val="0032532C"/>
    <w:rsid w:val="003347C9"/>
    <w:rsid w:val="0033646B"/>
    <w:rsid w:val="00352F6C"/>
    <w:rsid w:val="003802BC"/>
    <w:rsid w:val="00383A59"/>
    <w:rsid w:val="003841B9"/>
    <w:rsid w:val="003905C9"/>
    <w:rsid w:val="0039509E"/>
    <w:rsid w:val="00396EBE"/>
    <w:rsid w:val="003A4E6C"/>
    <w:rsid w:val="003A63C6"/>
    <w:rsid w:val="003B0D33"/>
    <w:rsid w:val="003D1E1F"/>
    <w:rsid w:val="003E32A1"/>
    <w:rsid w:val="003E572B"/>
    <w:rsid w:val="003F526B"/>
    <w:rsid w:val="00405029"/>
    <w:rsid w:val="00407773"/>
    <w:rsid w:val="00413FC3"/>
    <w:rsid w:val="00415543"/>
    <w:rsid w:val="00420166"/>
    <w:rsid w:val="00426DB6"/>
    <w:rsid w:val="004429C6"/>
    <w:rsid w:val="00447E5E"/>
    <w:rsid w:val="0045443A"/>
    <w:rsid w:val="00455AC4"/>
    <w:rsid w:val="00473EB6"/>
    <w:rsid w:val="00476F58"/>
    <w:rsid w:val="00492030"/>
    <w:rsid w:val="004954D8"/>
    <w:rsid w:val="004A1F67"/>
    <w:rsid w:val="004A4D81"/>
    <w:rsid w:val="004B61B3"/>
    <w:rsid w:val="004B71A5"/>
    <w:rsid w:val="004B778F"/>
    <w:rsid w:val="004B79C5"/>
    <w:rsid w:val="004E1F93"/>
    <w:rsid w:val="004E5B3A"/>
    <w:rsid w:val="005005F3"/>
    <w:rsid w:val="0053291B"/>
    <w:rsid w:val="00534F39"/>
    <w:rsid w:val="0054036D"/>
    <w:rsid w:val="0056555F"/>
    <w:rsid w:val="00565C7B"/>
    <w:rsid w:val="0057426D"/>
    <w:rsid w:val="0057520C"/>
    <w:rsid w:val="00581FFC"/>
    <w:rsid w:val="005B1739"/>
    <w:rsid w:val="005D1465"/>
    <w:rsid w:val="005D2FE3"/>
    <w:rsid w:val="005E0045"/>
    <w:rsid w:val="005E7D05"/>
    <w:rsid w:val="005F312B"/>
    <w:rsid w:val="006020A3"/>
    <w:rsid w:val="00614C34"/>
    <w:rsid w:val="00616C05"/>
    <w:rsid w:val="00627639"/>
    <w:rsid w:val="006473D4"/>
    <w:rsid w:val="00650E08"/>
    <w:rsid w:val="00662298"/>
    <w:rsid w:val="00677526"/>
    <w:rsid w:val="006B4E59"/>
    <w:rsid w:val="006D3896"/>
    <w:rsid w:val="006E00B3"/>
    <w:rsid w:val="006E00E7"/>
    <w:rsid w:val="006E5E3E"/>
    <w:rsid w:val="006E69C2"/>
    <w:rsid w:val="006F3683"/>
    <w:rsid w:val="006F5A87"/>
    <w:rsid w:val="0073734A"/>
    <w:rsid w:val="007426DE"/>
    <w:rsid w:val="0074723D"/>
    <w:rsid w:val="00762506"/>
    <w:rsid w:val="00764F59"/>
    <w:rsid w:val="00774A14"/>
    <w:rsid w:val="0077619F"/>
    <w:rsid w:val="007874C3"/>
    <w:rsid w:val="007A6D2B"/>
    <w:rsid w:val="007B3F8C"/>
    <w:rsid w:val="007B433E"/>
    <w:rsid w:val="007C42C7"/>
    <w:rsid w:val="007C5743"/>
    <w:rsid w:val="007C78A9"/>
    <w:rsid w:val="007D7CB6"/>
    <w:rsid w:val="007E093B"/>
    <w:rsid w:val="007E5688"/>
    <w:rsid w:val="00814D42"/>
    <w:rsid w:val="00833082"/>
    <w:rsid w:val="00856591"/>
    <w:rsid w:val="00862725"/>
    <w:rsid w:val="0088273D"/>
    <w:rsid w:val="008841CD"/>
    <w:rsid w:val="00896847"/>
    <w:rsid w:val="008A0252"/>
    <w:rsid w:val="008B7936"/>
    <w:rsid w:val="008D014E"/>
    <w:rsid w:val="008E731C"/>
    <w:rsid w:val="008E7B8F"/>
    <w:rsid w:val="008F1E13"/>
    <w:rsid w:val="009063BB"/>
    <w:rsid w:val="009135C1"/>
    <w:rsid w:val="0095372F"/>
    <w:rsid w:val="0096368A"/>
    <w:rsid w:val="00966738"/>
    <w:rsid w:val="00973D99"/>
    <w:rsid w:val="00984591"/>
    <w:rsid w:val="00985E32"/>
    <w:rsid w:val="00993418"/>
    <w:rsid w:val="00995FED"/>
    <w:rsid w:val="009B5109"/>
    <w:rsid w:val="009B6820"/>
    <w:rsid w:val="009C500E"/>
    <w:rsid w:val="009F0660"/>
    <w:rsid w:val="00A01DBC"/>
    <w:rsid w:val="00A04D93"/>
    <w:rsid w:val="00A1348C"/>
    <w:rsid w:val="00A21C35"/>
    <w:rsid w:val="00A42215"/>
    <w:rsid w:val="00A46753"/>
    <w:rsid w:val="00A542C7"/>
    <w:rsid w:val="00A543F7"/>
    <w:rsid w:val="00A644B1"/>
    <w:rsid w:val="00A84F8F"/>
    <w:rsid w:val="00AD5753"/>
    <w:rsid w:val="00AD5FCF"/>
    <w:rsid w:val="00AD69E1"/>
    <w:rsid w:val="00AD7B77"/>
    <w:rsid w:val="00AE190A"/>
    <w:rsid w:val="00B04DB1"/>
    <w:rsid w:val="00B10305"/>
    <w:rsid w:val="00B10BD4"/>
    <w:rsid w:val="00B12215"/>
    <w:rsid w:val="00B3316D"/>
    <w:rsid w:val="00B364BF"/>
    <w:rsid w:val="00B373A2"/>
    <w:rsid w:val="00B50728"/>
    <w:rsid w:val="00B529D1"/>
    <w:rsid w:val="00B602C2"/>
    <w:rsid w:val="00B8518E"/>
    <w:rsid w:val="00BA3518"/>
    <w:rsid w:val="00BB12BB"/>
    <w:rsid w:val="00BC08E8"/>
    <w:rsid w:val="00BC0AF0"/>
    <w:rsid w:val="00BE11FB"/>
    <w:rsid w:val="00BF5887"/>
    <w:rsid w:val="00C11381"/>
    <w:rsid w:val="00C22E4A"/>
    <w:rsid w:val="00C27551"/>
    <w:rsid w:val="00C331A2"/>
    <w:rsid w:val="00C52BE8"/>
    <w:rsid w:val="00C60E5C"/>
    <w:rsid w:val="00C7424D"/>
    <w:rsid w:val="00C8680B"/>
    <w:rsid w:val="00C93D10"/>
    <w:rsid w:val="00C95F3E"/>
    <w:rsid w:val="00CA1E19"/>
    <w:rsid w:val="00CA5589"/>
    <w:rsid w:val="00CB4634"/>
    <w:rsid w:val="00CC3FCC"/>
    <w:rsid w:val="00CD097D"/>
    <w:rsid w:val="00CE0DFC"/>
    <w:rsid w:val="00CE5B6C"/>
    <w:rsid w:val="00CF53D1"/>
    <w:rsid w:val="00CF6FE8"/>
    <w:rsid w:val="00D06E4B"/>
    <w:rsid w:val="00D23CBF"/>
    <w:rsid w:val="00D24EA8"/>
    <w:rsid w:val="00D25071"/>
    <w:rsid w:val="00D27346"/>
    <w:rsid w:val="00D379FD"/>
    <w:rsid w:val="00D46553"/>
    <w:rsid w:val="00D6411C"/>
    <w:rsid w:val="00D65A4D"/>
    <w:rsid w:val="00D87796"/>
    <w:rsid w:val="00DA038A"/>
    <w:rsid w:val="00DA4906"/>
    <w:rsid w:val="00DC3AC8"/>
    <w:rsid w:val="00DC4890"/>
    <w:rsid w:val="00DD0206"/>
    <w:rsid w:val="00DE30A4"/>
    <w:rsid w:val="00DE7078"/>
    <w:rsid w:val="00DF1A2A"/>
    <w:rsid w:val="00DF2064"/>
    <w:rsid w:val="00DF445E"/>
    <w:rsid w:val="00DF6F4E"/>
    <w:rsid w:val="00E06D56"/>
    <w:rsid w:val="00E32217"/>
    <w:rsid w:val="00E43183"/>
    <w:rsid w:val="00E435D7"/>
    <w:rsid w:val="00E436FE"/>
    <w:rsid w:val="00E47B52"/>
    <w:rsid w:val="00E50AFF"/>
    <w:rsid w:val="00E56AE5"/>
    <w:rsid w:val="00E71A4A"/>
    <w:rsid w:val="00E87EE0"/>
    <w:rsid w:val="00E921FF"/>
    <w:rsid w:val="00E947BA"/>
    <w:rsid w:val="00EB2A64"/>
    <w:rsid w:val="00EB4CF4"/>
    <w:rsid w:val="00EC5297"/>
    <w:rsid w:val="00ED323A"/>
    <w:rsid w:val="00ED493F"/>
    <w:rsid w:val="00EE0160"/>
    <w:rsid w:val="00EE2B8C"/>
    <w:rsid w:val="00EF4F34"/>
    <w:rsid w:val="00F008D5"/>
    <w:rsid w:val="00F02BAA"/>
    <w:rsid w:val="00F26D13"/>
    <w:rsid w:val="00F427BB"/>
    <w:rsid w:val="00F62C54"/>
    <w:rsid w:val="00F62DCE"/>
    <w:rsid w:val="00F87077"/>
    <w:rsid w:val="00FB1ADA"/>
    <w:rsid w:val="00FD3886"/>
    <w:rsid w:val="00FD5B0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AD2BF"/>
  <w14:defaultImageDpi w14:val="300"/>
  <w15:docId w15:val="{4B3CED55-359E-499C-9AEA-62A15568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A038A"/>
    <w:pPr>
      <w:spacing w:line="288" w:lineRule="auto"/>
      <w:jc w:val="both"/>
    </w:pPr>
    <w:rPr>
      <w:rFonts w:ascii="Times New Roman" w:eastAsia="Times New Roman" w:hAnsi="Times New Roman" w:cs="Times New Roman"/>
      <w:sz w:val="22"/>
      <w:szCs w:val="22"/>
      <w:lang w:val="en-US" w:eastAsia="en-US"/>
    </w:rPr>
  </w:style>
  <w:style w:type="paragraph" w:styleId="Cmsor1">
    <w:name w:val="heading 1"/>
    <w:basedOn w:val="Norml"/>
    <w:next w:val="Norml"/>
    <w:link w:val="Cmsor1Char"/>
    <w:uiPriority w:val="9"/>
    <w:qFormat/>
    <w:rsid w:val="00973D99"/>
    <w:pPr>
      <w:numPr>
        <w:numId w:val="2"/>
      </w:numPr>
      <w:overflowPunct w:val="0"/>
      <w:autoSpaceDE w:val="0"/>
      <w:autoSpaceDN w:val="0"/>
      <w:adjustRightInd w:val="0"/>
      <w:ind w:left="720" w:hanging="720"/>
      <w:textAlignment w:val="baseline"/>
      <w:outlineLvl w:val="0"/>
    </w:pPr>
    <w:rPr>
      <w:kern w:val="28"/>
      <w:szCs w:val="20"/>
      <w:lang w:val="en-GB"/>
    </w:rPr>
  </w:style>
  <w:style w:type="paragraph" w:styleId="Cmsor2">
    <w:name w:val="heading 2"/>
    <w:basedOn w:val="Norml"/>
    <w:next w:val="Norml"/>
    <w:link w:val="Cmsor2Char"/>
    <w:uiPriority w:val="9"/>
    <w:qFormat/>
    <w:rsid w:val="00973D99"/>
    <w:pPr>
      <w:numPr>
        <w:ilvl w:val="1"/>
        <w:numId w:val="2"/>
      </w:numPr>
      <w:overflowPunct w:val="0"/>
      <w:autoSpaceDE w:val="0"/>
      <w:autoSpaceDN w:val="0"/>
      <w:adjustRightInd w:val="0"/>
      <w:ind w:left="720" w:hanging="720"/>
      <w:textAlignment w:val="baseline"/>
      <w:outlineLvl w:val="1"/>
    </w:pPr>
    <w:rPr>
      <w:szCs w:val="20"/>
      <w:lang w:val="en-GB"/>
    </w:rPr>
  </w:style>
  <w:style w:type="paragraph" w:styleId="Cmsor3">
    <w:name w:val="heading 3"/>
    <w:basedOn w:val="Norml"/>
    <w:next w:val="Norml"/>
    <w:link w:val="Cmsor3Char"/>
    <w:uiPriority w:val="9"/>
    <w:qFormat/>
    <w:rsid w:val="00973D99"/>
    <w:pPr>
      <w:numPr>
        <w:ilvl w:val="2"/>
        <w:numId w:val="2"/>
      </w:numPr>
      <w:overflowPunct w:val="0"/>
      <w:autoSpaceDE w:val="0"/>
      <w:autoSpaceDN w:val="0"/>
      <w:adjustRightInd w:val="0"/>
      <w:ind w:left="720" w:hanging="720"/>
      <w:textAlignment w:val="baseline"/>
      <w:outlineLvl w:val="2"/>
    </w:pPr>
    <w:rPr>
      <w:szCs w:val="20"/>
      <w:lang w:val="en-GB"/>
    </w:rPr>
  </w:style>
  <w:style w:type="paragraph" w:styleId="Cmsor4">
    <w:name w:val="heading 4"/>
    <w:basedOn w:val="Norml"/>
    <w:next w:val="Norml"/>
    <w:link w:val="Cmsor4Char"/>
    <w:uiPriority w:val="9"/>
    <w:qFormat/>
    <w:rsid w:val="00973D99"/>
    <w:pPr>
      <w:numPr>
        <w:ilvl w:val="3"/>
        <w:numId w:val="2"/>
      </w:numPr>
      <w:overflowPunct w:val="0"/>
      <w:autoSpaceDE w:val="0"/>
      <w:autoSpaceDN w:val="0"/>
      <w:adjustRightInd w:val="0"/>
      <w:ind w:left="720" w:hanging="720"/>
      <w:textAlignment w:val="baseline"/>
      <w:outlineLvl w:val="3"/>
    </w:pPr>
    <w:rPr>
      <w:szCs w:val="20"/>
      <w:lang w:val="en-GB"/>
    </w:rPr>
  </w:style>
  <w:style w:type="paragraph" w:styleId="Cmsor5">
    <w:name w:val="heading 5"/>
    <w:basedOn w:val="Norml"/>
    <w:next w:val="Norml"/>
    <w:link w:val="Cmsor5Char"/>
    <w:uiPriority w:val="9"/>
    <w:qFormat/>
    <w:rsid w:val="00973D99"/>
    <w:pPr>
      <w:numPr>
        <w:ilvl w:val="4"/>
        <w:numId w:val="2"/>
      </w:numPr>
      <w:overflowPunct w:val="0"/>
      <w:autoSpaceDE w:val="0"/>
      <w:autoSpaceDN w:val="0"/>
      <w:adjustRightInd w:val="0"/>
      <w:ind w:left="720" w:hanging="720"/>
      <w:textAlignment w:val="baseline"/>
      <w:outlineLvl w:val="4"/>
    </w:pPr>
    <w:rPr>
      <w:szCs w:val="20"/>
      <w:lang w:val="en-GB"/>
    </w:rPr>
  </w:style>
  <w:style w:type="paragraph" w:styleId="Cmsor6">
    <w:name w:val="heading 6"/>
    <w:basedOn w:val="Norml"/>
    <w:next w:val="Norml"/>
    <w:link w:val="Cmsor6Char"/>
    <w:uiPriority w:val="9"/>
    <w:qFormat/>
    <w:rsid w:val="00973D99"/>
    <w:pPr>
      <w:numPr>
        <w:ilvl w:val="5"/>
        <w:numId w:val="2"/>
      </w:numPr>
      <w:overflowPunct w:val="0"/>
      <w:autoSpaceDE w:val="0"/>
      <w:autoSpaceDN w:val="0"/>
      <w:adjustRightInd w:val="0"/>
      <w:ind w:left="720" w:hanging="720"/>
      <w:textAlignment w:val="baseline"/>
      <w:outlineLvl w:val="5"/>
    </w:pPr>
    <w:rPr>
      <w:szCs w:val="20"/>
      <w:lang w:val="en-GB"/>
    </w:rPr>
  </w:style>
  <w:style w:type="paragraph" w:styleId="Cmsor7">
    <w:name w:val="heading 7"/>
    <w:basedOn w:val="Norml"/>
    <w:next w:val="Norml"/>
    <w:link w:val="Cmsor7Char"/>
    <w:uiPriority w:val="9"/>
    <w:qFormat/>
    <w:rsid w:val="00973D99"/>
    <w:pPr>
      <w:numPr>
        <w:ilvl w:val="6"/>
        <w:numId w:val="2"/>
      </w:numPr>
      <w:overflowPunct w:val="0"/>
      <w:autoSpaceDE w:val="0"/>
      <w:autoSpaceDN w:val="0"/>
      <w:adjustRightInd w:val="0"/>
      <w:ind w:left="720" w:hanging="720"/>
      <w:textAlignment w:val="baseline"/>
      <w:outlineLvl w:val="6"/>
    </w:pPr>
    <w:rPr>
      <w:szCs w:val="20"/>
      <w:lang w:val="en-GB"/>
    </w:rPr>
  </w:style>
  <w:style w:type="paragraph" w:styleId="Cmsor8">
    <w:name w:val="heading 8"/>
    <w:basedOn w:val="Norml"/>
    <w:next w:val="Norml"/>
    <w:link w:val="Cmsor8Char"/>
    <w:uiPriority w:val="9"/>
    <w:qFormat/>
    <w:rsid w:val="00973D99"/>
    <w:pPr>
      <w:numPr>
        <w:ilvl w:val="7"/>
        <w:numId w:val="2"/>
      </w:numPr>
      <w:overflowPunct w:val="0"/>
      <w:autoSpaceDE w:val="0"/>
      <w:autoSpaceDN w:val="0"/>
      <w:adjustRightInd w:val="0"/>
      <w:ind w:left="720" w:hanging="720"/>
      <w:textAlignment w:val="baseline"/>
      <w:outlineLvl w:val="7"/>
    </w:pPr>
    <w:rPr>
      <w:szCs w:val="20"/>
      <w:lang w:val="en-GB"/>
    </w:rPr>
  </w:style>
  <w:style w:type="paragraph" w:styleId="Cmsor9">
    <w:name w:val="heading 9"/>
    <w:basedOn w:val="Norml"/>
    <w:next w:val="Norml"/>
    <w:link w:val="Cmsor9Char"/>
    <w:uiPriority w:val="9"/>
    <w:qFormat/>
    <w:rsid w:val="00973D99"/>
    <w:pPr>
      <w:numPr>
        <w:ilvl w:val="8"/>
        <w:numId w:val="2"/>
      </w:numPr>
      <w:overflowPunct w:val="0"/>
      <w:autoSpaceDE w:val="0"/>
      <w:autoSpaceDN w:val="0"/>
      <w:adjustRightInd w:val="0"/>
      <w:ind w:left="720" w:hanging="720"/>
      <w:textAlignment w:val="baseline"/>
      <w:outlineLvl w:val="8"/>
    </w:pPr>
    <w:rPr>
      <w:szCs w:val="20"/>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qFormat/>
    <w:rsid w:val="00DA038A"/>
  </w:style>
  <w:style w:type="character" w:customStyle="1" w:styleId="llbChar">
    <w:name w:val="Élőláb Char"/>
    <w:basedOn w:val="Bekezdsalapbettpusa"/>
    <w:link w:val="llb"/>
    <w:uiPriority w:val="99"/>
    <w:rsid w:val="00DA038A"/>
    <w:rPr>
      <w:rFonts w:ascii="Times New Roman" w:eastAsia="Times New Roman" w:hAnsi="Times New Roman" w:cs="Times New Roman"/>
      <w:sz w:val="22"/>
      <w:szCs w:val="22"/>
      <w:lang w:val="en-US" w:eastAsia="en-US"/>
    </w:rPr>
  </w:style>
  <w:style w:type="paragraph" w:styleId="Lbjegyzetszveg">
    <w:name w:val="footnote text"/>
    <w:aliases w:val="AF Fußnotentext,Fußnote"/>
    <w:basedOn w:val="Norml"/>
    <w:link w:val="LbjegyzetszvegChar"/>
    <w:qFormat/>
    <w:rsid w:val="00DA038A"/>
    <w:pPr>
      <w:keepLines/>
      <w:spacing w:after="60" w:line="240" w:lineRule="auto"/>
      <w:ind w:left="567" w:hanging="567"/>
    </w:pPr>
    <w:rPr>
      <w:sz w:val="16"/>
    </w:rPr>
  </w:style>
  <w:style w:type="character" w:customStyle="1" w:styleId="LbjegyzetszvegChar">
    <w:name w:val="Lábjegyzetszöveg Char"/>
    <w:aliases w:val="AF Fußnotentext Char,Fußnote Char"/>
    <w:basedOn w:val="Bekezdsalapbettpusa"/>
    <w:link w:val="Lbjegyzetszveg"/>
    <w:rsid w:val="00DA038A"/>
    <w:rPr>
      <w:rFonts w:ascii="Times New Roman" w:eastAsia="Times New Roman" w:hAnsi="Times New Roman" w:cs="Times New Roman"/>
      <w:sz w:val="16"/>
      <w:szCs w:val="22"/>
      <w:lang w:val="en-US" w:eastAsia="en-US"/>
    </w:rPr>
  </w:style>
  <w:style w:type="character" w:styleId="Lbjegyzet-hivatkozs">
    <w:name w:val="footnote reference"/>
    <w:aliases w:val="Footnote symbol,Voetnootverwijzing,Times 10 Point,Exposant 3 Point,Nota,Footnote number,fr,o,Footnotemark,FR,Footnotemark1,Footnotemark2,FR1,Footnotemark3,FR2,Footnotemark4,FR3,Footnotemark5,FR4,Footnotemark6,Footnotemark7,BVI fnr"/>
    <w:basedOn w:val="Bekezdsalapbettpusa"/>
    <w:unhideWhenUsed/>
    <w:qFormat/>
    <w:rsid w:val="00DA038A"/>
    <w:rPr>
      <w:sz w:val="24"/>
      <w:vertAlign w:val="superscript"/>
    </w:rPr>
  </w:style>
  <w:style w:type="paragraph" w:styleId="Listaszerbekezds">
    <w:name w:val="List Paragraph"/>
    <w:basedOn w:val="Norml"/>
    <w:uiPriority w:val="34"/>
    <w:qFormat/>
    <w:rsid w:val="00DA038A"/>
    <w:pPr>
      <w:ind w:left="720"/>
      <w:contextualSpacing/>
    </w:pPr>
  </w:style>
  <w:style w:type="character" w:styleId="Hiperhivatkozs">
    <w:name w:val="Hyperlink"/>
    <w:basedOn w:val="Bekezdsalapbettpusa"/>
    <w:uiPriority w:val="99"/>
    <w:unhideWhenUsed/>
    <w:rsid w:val="00DA038A"/>
    <w:rPr>
      <w:color w:val="0000FF" w:themeColor="hyperlink"/>
      <w:u w:val="single"/>
    </w:rPr>
  </w:style>
  <w:style w:type="paragraph" w:styleId="Buborkszveg">
    <w:name w:val="Balloon Text"/>
    <w:basedOn w:val="Norml"/>
    <w:link w:val="BuborkszvegChar"/>
    <w:uiPriority w:val="99"/>
    <w:semiHidden/>
    <w:unhideWhenUsed/>
    <w:rsid w:val="00DA038A"/>
    <w:pPr>
      <w:spacing w:line="240" w:lineRule="auto"/>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DA038A"/>
    <w:rPr>
      <w:rFonts w:ascii="Lucida Grande" w:eastAsia="Times New Roman" w:hAnsi="Lucida Grande" w:cs="Lucida Grande"/>
      <w:sz w:val="18"/>
      <w:szCs w:val="18"/>
      <w:lang w:val="en-US" w:eastAsia="en-US"/>
    </w:rPr>
  </w:style>
  <w:style w:type="character" w:styleId="Mrltotthiperhivatkozs">
    <w:name w:val="FollowedHyperlink"/>
    <w:basedOn w:val="Bekezdsalapbettpusa"/>
    <w:uiPriority w:val="99"/>
    <w:semiHidden/>
    <w:unhideWhenUsed/>
    <w:rsid w:val="00DA038A"/>
    <w:rPr>
      <w:color w:val="800080" w:themeColor="followedHyperlink"/>
      <w:u w:val="single"/>
    </w:rPr>
  </w:style>
  <w:style w:type="paragraph" w:styleId="lfej">
    <w:name w:val="header"/>
    <w:basedOn w:val="Norml"/>
    <w:link w:val="lfejChar"/>
    <w:uiPriority w:val="99"/>
    <w:unhideWhenUsed/>
    <w:rsid w:val="007C42C7"/>
  </w:style>
  <w:style w:type="character" w:customStyle="1" w:styleId="lfejChar">
    <w:name w:val="Élőfej Char"/>
    <w:basedOn w:val="Bekezdsalapbettpusa"/>
    <w:link w:val="lfej"/>
    <w:uiPriority w:val="99"/>
    <w:rsid w:val="007C42C7"/>
    <w:rPr>
      <w:rFonts w:ascii="Times New Roman" w:eastAsia="Times New Roman" w:hAnsi="Times New Roman" w:cs="Times New Roman"/>
      <w:sz w:val="22"/>
      <w:szCs w:val="22"/>
      <w:lang w:val="en-US" w:eastAsia="en-US"/>
    </w:rPr>
  </w:style>
  <w:style w:type="character" w:customStyle="1" w:styleId="Cmsor1Char">
    <w:name w:val="Címsor 1 Char"/>
    <w:basedOn w:val="Bekezdsalapbettpusa"/>
    <w:link w:val="Cmsor1"/>
    <w:uiPriority w:val="9"/>
    <w:rsid w:val="00973D99"/>
    <w:rPr>
      <w:rFonts w:ascii="Times New Roman" w:eastAsia="Times New Roman" w:hAnsi="Times New Roman" w:cs="Times New Roman"/>
      <w:kern w:val="28"/>
      <w:sz w:val="22"/>
      <w:szCs w:val="20"/>
      <w:lang w:val="en-GB" w:eastAsia="en-US"/>
    </w:rPr>
  </w:style>
  <w:style w:type="character" w:customStyle="1" w:styleId="Cmsor2Char">
    <w:name w:val="Címsor 2 Char"/>
    <w:basedOn w:val="Bekezdsalapbettpusa"/>
    <w:link w:val="Cmsor2"/>
    <w:uiPriority w:val="9"/>
    <w:rsid w:val="00973D99"/>
    <w:rPr>
      <w:rFonts w:ascii="Times New Roman" w:eastAsia="Times New Roman" w:hAnsi="Times New Roman" w:cs="Times New Roman"/>
      <w:sz w:val="22"/>
      <w:szCs w:val="20"/>
      <w:lang w:val="en-GB" w:eastAsia="en-US"/>
    </w:rPr>
  </w:style>
  <w:style w:type="character" w:customStyle="1" w:styleId="Cmsor3Char">
    <w:name w:val="Címsor 3 Char"/>
    <w:basedOn w:val="Bekezdsalapbettpusa"/>
    <w:link w:val="Cmsor3"/>
    <w:uiPriority w:val="9"/>
    <w:rsid w:val="00973D99"/>
    <w:rPr>
      <w:rFonts w:ascii="Times New Roman" w:eastAsia="Times New Roman" w:hAnsi="Times New Roman" w:cs="Times New Roman"/>
      <w:sz w:val="22"/>
      <w:szCs w:val="20"/>
      <w:lang w:val="en-GB" w:eastAsia="en-US"/>
    </w:rPr>
  </w:style>
  <w:style w:type="character" w:customStyle="1" w:styleId="Cmsor4Char">
    <w:name w:val="Címsor 4 Char"/>
    <w:basedOn w:val="Bekezdsalapbettpusa"/>
    <w:link w:val="Cmsor4"/>
    <w:uiPriority w:val="9"/>
    <w:rsid w:val="00973D99"/>
    <w:rPr>
      <w:rFonts w:ascii="Times New Roman" w:eastAsia="Times New Roman" w:hAnsi="Times New Roman" w:cs="Times New Roman"/>
      <w:sz w:val="22"/>
      <w:szCs w:val="20"/>
      <w:lang w:val="en-GB" w:eastAsia="en-US"/>
    </w:rPr>
  </w:style>
  <w:style w:type="character" w:customStyle="1" w:styleId="Cmsor5Char">
    <w:name w:val="Címsor 5 Char"/>
    <w:basedOn w:val="Bekezdsalapbettpusa"/>
    <w:link w:val="Cmsor5"/>
    <w:uiPriority w:val="9"/>
    <w:rsid w:val="00973D99"/>
    <w:rPr>
      <w:rFonts w:ascii="Times New Roman" w:eastAsia="Times New Roman" w:hAnsi="Times New Roman" w:cs="Times New Roman"/>
      <w:sz w:val="22"/>
      <w:szCs w:val="20"/>
      <w:lang w:val="en-GB" w:eastAsia="en-US"/>
    </w:rPr>
  </w:style>
  <w:style w:type="character" w:customStyle="1" w:styleId="Cmsor6Char">
    <w:name w:val="Címsor 6 Char"/>
    <w:basedOn w:val="Bekezdsalapbettpusa"/>
    <w:link w:val="Cmsor6"/>
    <w:uiPriority w:val="9"/>
    <w:rsid w:val="00973D99"/>
    <w:rPr>
      <w:rFonts w:ascii="Times New Roman" w:eastAsia="Times New Roman" w:hAnsi="Times New Roman" w:cs="Times New Roman"/>
      <w:sz w:val="22"/>
      <w:szCs w:val="20"/>
      <w:lang w:val="en-GB" w:eastAsia="en-US"/>
    </w:rPr>
  </w:style>
  <w:style w:type="character" w:customStyle="1" w:styleId="Cmsor7Char">
    <w:name w:val="Címsor 7 Char"/>
    <w:basedOn w:val="Bekezdsalapbettpusa"/>
    <w:link w:val="Cmsor7"/>
    <w:uiPriority w:val="9"/>
    <w:rsid w:val="00973D99"/>
    <w:rPr>
      <w:rFonts w:ascii="Times New Roman" w:eastAsia="Times New Roman" w:hAnsi="Times New Roman" w:cs="Times New Roman"/>
      <w:sz w:val="22"/>
      <w:szCs w:val="20"/>
      <w:lang w:val="en-GB" w:eastAsia="en-US"/>
    </w:rPr>
  </w:style>
  <w:style w:type="character" w:customStyle="1" w:styleId="Cmsor8Char">
    <w:name w:val="Címsor 8 Char"/>
    <w:basedOn w:val="Bekezdsalapbettpusa"/>
    <w:link w:val="Cmsor8"/>
    <w:uiPriority w:val="9"/>
    <w:rsid w:val="00973D99"/>
    <w:rPr>
      <w:rFonts w:ascii="Times New Roman" w:eastAsia="Times New Roman" w:hAnsi="Times New Roman" w:cs="Times New Roman"/>
      <w:sz w:val="22"/>
      <w:szCs w:val="20"/>
      <w:lang w:val="en-GB" w:eastAsia="en-US"/>
    </w:rPr>
  </w:style>
  <w:style w:type="character" w:customStyle="1" w:styleId="Cmsor9Char">
    <w:name w:val="Címsor 9 Char"/>
    <w:basedOn w:val="Bekezdsalapbettpusa"/>
    <w:link w:val="Cmsor9"/>
    <w:uiPriority w:val="9"/>
    <w:rsid w:val="00973D99"/>
    <w:rPr>
      <w:rFonts w:ascii="Times New Roman" w:eastAsia="Times New Roman" w:hAnsi="Times New Roman" w:cs="Times New Roman"/>
      <w:sz w:val="22"/>
      <w:szCs w:val="20"/>
      <w:lang w:val="en-GB" w:eastAsia="en-US"/>
    </w:rPr>
  </w:style>
  <w:style w:type="paragraph" w:customStyle="1" w:styleId="Default">
    <w:name w:val="Default"/>
    <w:rsid w:val="00B364BF"/>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8023">
      <w:bodyDiv w:val="1"/>
      <w:marLeft w:val="0"/>
      <w:marRight w:val="0"/>
      <w:marTop w:val="0"/>
      <w:marBottom w:val="0"/>
      <w:divBdr>
        <w:top w:val="none" w:sz="0" w:space="0" w:color="auto"/>
        <w:left w:val="none" w:sz="0" w:space="0" w:color="auto"/>
        <w:bottom w:val="none" w:sz="0" w:space="0" w:color="auto"/>
        <w:right w:val="none" w:sz="0" w:space="0" w:color="auto"/>
      </w:divBdr>
    </w:div>
    <w:div w:id="582371280">
      <w:bodyDiv w:val="1"/>
      <w:marLeft w:val="0"/>
      <w:marRight w:val="0"/>
      <w:marTop w:val="0"/>
      <w:marBottom w:val="0"/>
      <w:divBdr>
        <w:top w:val="none" w:sz="0" w:space="0" w:color="auto"/>
        <w:left w:val="none" w:sz="0" w:space="0" w:color="auto"/>
        <w:bottom w:val="none" w:sz="0" w:space="0" w:color="auto"/>
        <w:right w:val="none" w:sz="0" w:space="0" w:color="auto"/>
      </w:divBdr>
    </w:div>
    <w:div w:id="868950116">
      <w:bodyDiv w:val="1"/>
      <w:marLeft w:val="0"/>
      <w:marRight w:val="0"/>
      <w:marTop w:val="0"/>
      <w:marBottom w:val="0"/>
      <w:divBdr>
        <w:top w:val="none" w:sz="0" w:space="0" w:color="auto"/>
        <w:left w:val="none" w:sz="0" w:space="0" w:color="auto"/>
        <w:bottom w:val="none" w:sz="0" w:space="0" w:color="auto"/>
        <w:right w:val="none" w:sz="0" w:space="0" w:color="auto"/>
      </w:divBdr>
    </w:div>
    <w:div w:id="940264028">
      <w:bodyDiv w:val="1"/>
      <w:marLeft w:val="0"/>
      <w:marRight w:val="0"/>
      <w:marTop w:val="0"/>
      <w:marBottom w:val="0"/>
      <w:divBdr>
        <w:top w:val="none" w:sz="0" w:space="0" w:color="auto"/>
        <w:left w:val="none" w:sz="0" w:space="0" w:color="auto"/>
        <w:bottom w:val="none" w:sz="0" w:space="0" w:color="auto"/>
        <w:right w:val="none" w:sz="0" w:space="0" w:color="auto"/>
      </w:divBdr>
    </w:div>
    <w:div w:id="962542632">
      <w:bodyDiv w:val="1"/>
      <w:marLeft w:val="0"/>
      <w:marRight w:val="0"/>
      <w:marTop w:val="0"/>
      <w:marBottom w:val="0"/>
      <w:divBdr>
        <w:top w:val="none" w:sz="0" w:space="0" w:color="auto"/>
        <w:left w:val="none" w:sz="0" w:space="0" w:color="auto"/>
        <w:bottom w:val="none" w:sz="0" w:space="0" w:color="auto"/>
        <w:right w:val="none" w:sz="0" w:space="0" w:color="auto"/>
      </w:divBdr>
    </w:div>
    <w:div w:id="1096898289">
      <w:bodyDiv w:val="1"/>
      <w:marLeft w:val="0"/>
      <w:marRight w:val="0"/>
      <w:marTop w:val="0"/>
      <w:marBottom w:val="0"/>
      <w:divBdr>
        <w:top w:val="none" w:sz="0" w:space="0" w:color="auto"/>
        <w:left w:val="none" w:sz="0" w:space="0" w:color="auto"/>
        <w:bottom w:val="none" w:sz="0" w:space="0" w:color="auto"/>
        <w:right w:val="none" w:sz="0" w:space="0" w:color="auto"/>
      </w:divBdr>
    </w:div>
    <w:div w:id="1806312638">
      <w:bodyDiv w:val="1"/>
      <w:marLeft w:val="0"/>
      <w:marRight w:val="0"/>
      <w:marTop w:val="0"/>
      <w:marBottom w:val="0"/>
      <w:divBdr>
        <w:top w:val="none" w:sz="0" w:space="0" w:color="auto"/>
        <w:left w:val="none" w:sz="0" w:space="0" w:color="auto"/>
        <w:bottom w:val="none" w:sz="0" w:space="0" w:color="auto"/>
        <w:right w:val="none" w:sz="0" w:space="0" w:color="auto"/>
      </w:divBdr>
    </w:div>
    <w:div w:id="2063477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AE839ADEF541F3488D7DE57B367A7E73" ma:contentTypeVersion="5" ma:contentTypeDescription="Defines the documents for Document Manager V2" ma:contentTypeScope="" ma:versionID="393494f8e9a48f337adafe8ad7b0446b">
  <xsd:schema xmlns:xsd="http://www.w3.org/2001/XMLSchema" xmlns:xs="http://www.w3.org/2001/XMLSchema" xmlns:p="http://schemas.microsoft.com/office/2006/metadata/properties" xmlns:ns2="2c9916e3-590a-47ee-8a4b-72c761a69c9e" xmlns:ns3="http://schemas.microsoft.com/sharepoint/v3/fields" xmlns:ns4="30d1edff-5f98-40ca-b5b7-93b08f89c8c5" targetNamespace="http://schemas.microsoft.com/office/2006/metadata/properties" ma:root="true" ma:fieldsID="94df747a9dadb6fc639736ec3046c13e" ns2:_="" ns3:_="" ns4:_="">
    <xsd:import namespace="2c9916e3-590a-47ee-8a4b-72c761a69c9e"/>
    <xsd:import namespace="http://schemas.microsoft.com/sharepoint/v3/fields"/>
    <xsd:import namespace="30d1edff-5f98-40ca-b5b7-93b08f89c8c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916e3-590a-47ee-8a4b-72c761a69c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503152-1186-40d7-ae3b-6ba65e96695b}" ma:internalName="TaxCatchAll" ma:showField="CatchAllData" ma:web="2c9916e3-590a-47ee-8a4b-72c761a69c9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503152-1186-40d7-ae3b-6ba65e96695b}" ma:internalName="TaxCatchAllLabel" ma:readOnly="true" ma:showField="CatchAllDataLabel" ma:web="2c9916e3-590a-47ee-8a4b-72c761a69c9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d1edff-5f98-40ca-b5b7-93b08f89c8c5"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c9916e3-590a-47ee-8a4b-72c761a69c9e">3TERTJPUQSXZ-1015733444-1234</_dlc_DocId>
    <_dlc_DocIdUrl xmlns="2c9916e3-590a-47ee-8a4b-72c761a69c9e">
      <Url>http://dm2016/cor/2021/_layouts/15/DocIdRedir.aspx?ID=3TERTJPUQSXZ-1015733444-1234</Url>
      <Description>3TERTJPUQSXZ-1015733444-1234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DT</TermName>
          <TermId xmlns="http://schemas.microsoft.com/office/infopath/2007/PartnerControls">25c86c03-f029-4a57-bd6c-25106fad060c</TermId>
        </TermInfo>
      </Terms>
    </DocumentType_0>
    <Procedure xmlns="2c9916e3-590a-47ee-8a4b-72c761a69c9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c9916e3-590a-47ee-8a4b-72c761a69c9e">2021-01-27T12:00:00+00:00</ProductionDate>
    <FicheYear xmlns="2c9916e3-590a-47ee-8a4b-72c761a69c9e">2021</FicheYear>
    <DocumentNumber xmlns="30d1edff-5f98-40ca-b5b7-93b08f89c8c5">292</DocumentNumber>
    <DocumentVersion xmlns="2c9916e3-590a-47ee-8a4b-72c761a69c9e">1</DocumentVersion>
    <DossierNumber xmlns="2c9916e3-590a-47ee-8a4b-72c761a69c9e">15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c9916e3-590a-47ee-8a4b-72c761a69c9e">2021-02-01T12:00:00+00:00</MeetingDate>
    <TaxCatchAll xmlns="2c9916e3-590a-47ee-8a4b-72c761a69c9e">
      <Value>60</Value>
      <Value>57</Value>
      <Value>34</Value>
      <Value>33</Value>
      <Value>32</Value>
      <Value>31</Value>
      <Value>30</Value>
      <Value>29</Value>
      <Value>28</Value>
      <Value>27</Value>
      <Value>26</Value>
      <Value>25</Value>
      <Value>24</Value>
      <Value>23</Value>
      <Value>22</Value>
      <Value>21</Value>
      <Value>20</Value>
      <Value>19</Value>
      <Value>18</Value>
      <Value>17</Value>
      <Value>16</Value>
      <Value>15</Value>
      <Value>14</Value>
      <Value>11</Value>
      <Value>9</Value>
      <Value>8</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c9916e3-590a-47ee-8a4b-72c761a69c9e">NOHRÈN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c9916e3-590a-47ee-8a4b-72c761a69c9e">2021</DocumentYear>
    <FicheNumber xmlns="2c9916e3-590a-47ee-8a4b-72c761a69c9e">1118</FicheNumber>
    <DocumentPart xmlns="2c9916e3-590a-47ee-8a4b-72c761a69c9e">0</DocumentPart>
    <AdoptionDate xmlns="2c9916e3-590a-47ee-8a4b-72c761a69c9e" xsi:nil="true"/>
    <RequestingService xmlns="2c9916e3-590a-47ee-8a4b-72c761a69c9e">Commission ENVE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ENVE-VII</TermName>
          <TermId xmlns="http://schemas.microsoft.com/office/infopath/2007/PartnerControls">5d1f267f-9c7e-4fe3-8e59-b8926529a13e</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0d1edff-5f98-40ca-b5b7-93b08f89c8c5">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ENVE-VII</TermName>
          <TermId xmlns="http://schemas.microsoft.com/office/infopath/2007/PartnerControls">6ee8e51f-c3cc-464b-aceb-beb6545d7e0a</TermId>
        </TermInfo>
      </Terms>
    </DossierName_0>
    <OriginalSender xmlns="2c9916e3-590a-47ee-8a4b-72c761a69c9e">
      <UserInfo>
        <DisplayName/>
        <AccountId xsi:nil="true"/>
        <AccountType/>
      </UserInfo>
    </OriginalSen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72800-767D-4D88-8420-5FEC46AF0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916e3-590a-47ee-8a4b-72c761a69c9e"/>
    <ds:schemaRef ds:uri="http://schemas.microsoft.com/sharepoint/v3/fields"/>
    <ds:schemaRef ds:uri="30d1edff-5f98-40ca-b5b7-93b08f89c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67D2A-EF39-40F8-93AB-A20F2DB028AB}">
  <ds:schemaRefs>
    <ds:schemaRef ds:uri="http://schemas.microsoft.com/sharepoint/events"/>
  </ds:schemaRefs>
</ds:datastoreItem>
</file>

<file path=customXml/itemProps3.xml><?xml version="1.0" encoding="utf-8"?>
<ds:datastoreItem xmlns:ds="http://schemas.openxmlformats.org/officeDocument/2006/customXml" ds:itemID="{7D8BF0BE-70B4-4BB6-B005-1883079A9547}">
  <ds:schemaRefs>
    <ds:schemaRef ds:uri="http://schemas.microsoft.com/sharepoint/v3/contenttype/forms"/>
  </ds:schemaRefs>
</ds:datastoreItem>
</file>

<file path=customXml/itemProps4.xml><?xml version="1.0" encoding="utf-8"?>
<ds:datastoreItem xmlns:ds="http://schemas.openxmlformats.org/officeDocument/2006/customXml" ds:itemID="{00742711-B651-4FCE-BDB9-5D8DF9BFF340}">
  <ds:schemaRefs>
    <ds:schemaRef ds:uri="http://schemas.microsoft.com/office/2006/documentManagement/types"/>
    <ds:schemaRef ds:uri="http://purl.org/dc/elements/1.1/"/>
    <ds:schemaRef ds:uri="2c9916e3-590a-47ee-8a4b-72c761a69c9e"/>
    <ds:schemaRef ds:uri="http://schemas.openxmlformats.org/package/2006/metadata/core-properties"/>
    <ds:schemaRef ds:uri="http://schemas.microsoft.com/office/infopath/2007/PartnerControls"/>
    <ds:schemaRef ds:uri="http://purl.org/dc/terms/"/>
    <ds:schemaRef ds:uri="30d1edff-5f98-40ca-b5b7-93b08f89c8c5"/>
    <ds:schemaRef ds:uri="http://schemas.microsoft.com/office/2006/metadata/propertie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ACDA4C40-92E4-4F0E-AE19-7C3F7E1D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2688</Words>
  <Characters>18548</Characters>
  <Application>Microsoft Office Word</Application>
  <DocSecurity>0</DocSecurity>
  <Lines>154</Lines>
  <Paragraphs>42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t: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DT</dc:subject>
  <dc:creator>ENVE</dc:creator>
  <cp:keywords>...</cp:keywords>
  <dc:description>Rapporteur: - NOHRÈN Original language: - EN Date of document: - 27/01/2021 Date of meeting: - 01/02/2021 External documents: -  Administrator responsible: -  RINALDI Roberto</dc:description>
  <cp:lastModifiedBy>Csak Laszlo</cp:lastModifiedBy>
  <cp:revision>2</cp:revision>
  <dcterms:created xsi:type="dcterms:W3CDTF">2021-10-22T12:28:00Z</dcterms:created>
  <dcterms:modified xsi:type="dcterms:W3CDTF">2021-10-22T12:28:00Z</dcterms:modified>
  <cp:category>ENVE-VII/15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27/01/2021, 19/01/2021, 19/01/2021</vt:lpwstr>
  </property>
  <property fmtid="{D5CDD505-2E9C-101B-9397-08002B2CF9AE}" pid="4" name="Pref_Time">
    <vt:lpwstr>13:38:54, 15:13:18, 15:01:52</vt:lpwstr>
  </property>
  <property fmtid="{D5CDD505-2E9C-101B-9397-08002B2CF9AE}" pid="5" name="Pref_User">
    <vt:lpwstr>amett, hnic, YMUR</vt:lpwstr>
  </property>
  <property fmtid="{D5CDD505-2E9C-101B-9397-08002B2CF9AE}" pid="6" name="Pref_FileName">
    <vt:lpwstr>COR-2021-00292-00-01-DT-ORI.docx, COR-2021-00292-00-00-DT-TRA-EN-CRR.docx, COR-2021-00292-00-00-DT-CRR-EN.docx</vt:lpwstr>
  </property>
  <property fmtid="{D5CDD505-2E9C-101B-9397-08002B2CF9AE}" pid="7" name="ContentTypeId">
    <vt:lpwstr>0x010100EA97B91038054C99906057A708A1480A00AE839ADEF541F3488D7DE57B367A7E73</vt:lpwstr>
  </property>
  <property fmtid="{D5CDD505-2E9C-101B-9397-08002B2CF9AE}" pid="8" name="_dlc_DocIdItemGuid">
    <vt:lpwstr>0df28dd7-50c1-4db0-bf37-f99b493fc572</vt:lpwstr>
  </property>
  <property fmtid="{D5CDD505-2E9C-101B-9397-08002B2CF9AE}" pid="9" name="AvailableTranslations">
    <vt:lpwstr>32;#SL|98a412ae-eb01-49e9-ae3d-585a81724cfc;#21;#PT|50ccc04a-eadd-42ae-a0cb-acaf45f812ba;#24;#FR|d2afafd3-4c81-4f60-8f52-ee33f2f54ff3;#17;#LV|46f7e311-5d9f-4663-b433-18aeccb7ace7;#30;#ET|ff6c3f4c-b02c-4c3c-ab07-2c37995a7a0a;#28;#HU|6b229040-c589-4408-b4c1</vt:lpwstr>
  </property>
  <property fmtid="{D5CDD505-2E9C-101B-9397-08002B2CF9AE}" pid="10" name="DocumentType_0">
    <vt:lpwstr>DT|25c86c03-f029-4a57-bd6c-25106fad060c</vt:lpwstr>
  </property>
  <property fmtid="{D5CDD505-2E9C-101B-9397-08002B2CF9AE}" pid="11" name="MeetingNumber">
    <vt:i4>6</vt:i4>
  </property>
  <property fmtid="{D5CDD505-2E9C-101B-9397-08002B2CF9AE}" pid="12" name="DossierName_0">
    <vt:lpwstr>ENVE-VII|6ee8e51f-c3cc-464b-aceb-beb6545d7e0a</vt:lpwstr>
  </property>
  <property fmtid="{D5CDD505-2E9C-101B-9397-08002B2CF9AE}" pid="13" name="DocumentSource_0">
    <vt:lpwstr>CoR|cb2d75ef-4a7d-4393-b797-49ed6298a5ea</vt:lpwstr>
  </property>
  <property fmtid="{D5CDD505-2E9C-101B-9397-08002B2CF9AE}" pid="14" name="DocumentNumber">
    <vt:i4>292</vt:i4>
  </property>
  <property fmtid="{D5CDD505-2E9C-101B-9397-08002B2CF9AE}" pid="15" name="FicheYear">
    <vt:i4>2021</vt:i4>
  </property>
  <property fmtid="{D5CDD505-2E9C-101B-9397-08002B2CF9AE}" pid="16" name="DocumentVersion">
    <vt:i4>1</vt:i4>
  </property>
  <property fmtid="{D5CDD505-2E9C-101B-9397-08002B2CF9AE}" pid="17" name="DossierNumber">
    <vt:i4>15</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60;#ENVE-VII|6ee8e51f-c3cc-464b-aceb-beb6545d7e0a</vt:lpwstr>
  </property>
  <property fmtid="{D5CDD505-2E9C-101B-9397-08002B2CF9AE}" pid="21" name="DocumentSource">
    <vt:lpwstr>1;#CoR|cb2d75ef-4a7d-4393-b797-49ed6298a5ea</vt:lpwstr>
  </property>
  <property fmtid="{D5CDD505-2E9C-101B-9397-08002B2CF9AE}" pid="22" name="DocumentType">
    <vt:lpwstr>57;#DT|25c86c03-f029-4a57-bd6c-25106fad060c</vt:lpwstr>
  </property>
  <property fmtid="{D5CDD505-2E9C-101B-9397-08002B2CF9AE}" pid="23" name="RequestingService">
    <vt:lpwstr>Commission ENVE</vt:lpwstr>
  </property>
  <property fmtid="{D5CDD505-2E9C-101B-9397-08002B2CF9AE}" pid="24" name="Confidentiality">
    <vt:lpwstr>9;#Unrestricted|826e22d7-d029-4ec0-a450-0c28ff673572</vt:lpwstr>
  </property>
  <property fmtid="{D5CDD505-2E9C-101B-9397-08002B2CF9AE}" pid="25" name="MeetingName_0">
    <vt:lpwstr>ENVE-VII|5d1f267f-9c7e-4fe3-8e59-b8926529a13e</vt:lpwstr>
  </property>
  <property fmtid="{D5CDD505-2E9C-101B-9397-08002B2CF9AE}" pid="26" name="Confidentiality_0">
    <vt:lpwstr>Unrestricted|826e22d7-d029-4ec0-a450-0c28ff673572</vt:lpwstr>
  </property>
  <property fmtid="{D5CDD505-2E9C-101B-9397-08002B2CF9AE}" pid="27" name="OriginalLanguage">
    <vt:lpwstr>8;#EN|f2175f21-25d7-44a3-96da-d6a61b075e1b</vt:lpwstr>
  </property>
  <property fmtid="{D5CDD505-2E9C-101B-9397-08002B2CF9AE}" pid="28" name="MeetingName">
    <vt:lpwstr>11;#ENVE-VII|5d1f267f-9c7e-4fe3-8e59-b8926529a13e</vt:lpwstr>
  </property>
  <property fmtid="{D5CDD505-2E9C-101B-9397-08002B2CF9AE}" pid="29" name="MeetingDate">
    <vt:filetime>2021-02-01T12:00:00Z</vt:filetime>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11;#ENVE-VII|5d1f267f-9c7e-4fe3-8e59-b8926529a13e;#60;#ENVE-VII|6ee8e51f-c3cc-464b-aceb-beb6545d7e0a;#8;#EN|f2175f21-25d7-44a3-96da-d6a61b075e1b;#57;#DT|25c86c03-f029-4a57-bd6c-25106fad060c;#6;#Final|ea5e6674-7b27-4bac-b091-73adbb394efe;#9;#Unrestricted|8</vt:lpwstr>
  </property>
  <property fmtid="{D5CDD505-2E9C-101B-9397-08002B2CF9AE}" pid="34" name="Rapporteur">
    <vt:lpwstr>NOHRÈN</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2021</vt:i4>
  </property>
  <property fmtid="{D5CDD505-2E9C-101B-9397-08002B2CF9AE}" pid="38" name="FicheNumber">
    <vt:i4>1118</vt:i4>
  </property>
  <property fmtid="{D5CDD505-2E9C-101B-9397-08002B2CF9AE}" pid="39" name="DocumentLanguage">
    <vt:lpwstr>8;#EN|f2175f21-25d7-44a3-96da-d6a61b075e1b</vt:lpwstr>
  </property>
  <property fmtid="{D5CDD505-2E9C-101B-9397-08002B2CF9AE}" pid="40" name="_docset_NoMedatataSyncRequired">
    <vt:lpwstr>False</vt:lpwstr>
  </property>
</Properties>
</file>